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6BF7F">
      <w:pPr>
        <w:pStyle w:val="24"/>
        <w:framePr w:wrap="around" w:vAnchor="page" w:hAnchor="page" w:x="1446" w:y="1828"/>
        <w:rPr>
          <w:rFonts w:hint="eastAsia" w:hAnsi="黑体"/>
          <w:color w:val="000000" w:themeColor="text1"/>
          <w14:textFill>
            <w14:solidFill>
              <w14:schemeClr w14:val="tx1"/>
            </w14:solidFill>
          </w14:textFill>
        </w:rPr>
      </w:pPr>
      <w:r>
        <w:rPr>
          <w:rFonts w:hAnsi="黑体"/>
          <w:color w:val="000000" w:themeColor="text1"/>
          <w14:textFill>
            <w14:solidFill>
              <w14:schemeClr w14:val="tx1"/>
            </w14:solidFill>
          </w14:textFill>
        </w:rPr>
        <w:t>ICS </w:t>
      </w:r>
      <w:r>
        <w:rPr>
          <w:rFonts w:hint="eastAsia" w:hAnsi="黑体"/>
          <w:color w:val="000000" w:themeColor="text1"/>
          <w14:textFill>
            <w14:solidFill>
              <w14:schemeClr w14:val="tx1"/>
            </w14:solidFill>
          </w14:textFill>
        </w:rPr>
        <w:t>03</w:t>
      </w:r>
      <w:r>
        <w:rPr>
          <w:rFonts w:hAnsi="黑体"/>
          <w:color w:val="000000" w:themeColor="text1"/>
          <w14:textFill>
            <w14:solidFill>
              <w14:schemeClr w14:val="tx1"/>
            </w14:solidFill>
          </w14:textFill>
        </w:rPr>
        <w:t>.0</w:t>
      </w:r>
      <w:r>
        <w:rPr>
          <w:rFonts w:hint="eastAsia" w:hAnsi="黑体"/>
          <w:color w:val="000000" w:themeColor="text1"/>
          <w14:textFill>
            <w14:solidFill>
              <w14:schemeClr w14:val="tx1"/>
            </w14:solidFill>
          </w14:textFill>
        </w:rPr>
        <w:t>8</w:t>
      </w:r>
      <w:r>
        <w:rPr>
          <w:rFonts w:hAnsi="黑体"/>
          <w:color w:val="000000" w:themeColor="text1"/>
          <w14:textFill>
            <w14:solidFill>
              <w14:schemeClr w14:val="tx1"/>
            </w14:solidFill>
          </w14:textFill>
        </w:rPr>
        <w:t>0</w:t>
      </w:r>
    </w:p>
    <w:p w14:paraId="01DD5E4E">
      <w:pPr>
        <w:pStyle w:val="24"/>
        <w:framePr w:wrap="around" w:vAnchor="page" w:hAnchor="page" w:x="1446" w:y="1828"/>
        <w:rPr>
          <w:rFonts w:hint="eastAsia"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CCS</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A</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16</w:t>
      </w:r>
    </w:p>
    <w:p w14:paraId="247790C8">
      <w:pPr>
        <w:rPr>
          <w:rFonts w:hint="eastAsia"/>
        </w:rPr>
      </w:pPr>
    </w:p>
    <w:p w14:paraId="19FA1636">
      <w:pPr>
        <w:pStyle w:val="25"/>
        <w:framePr w:w="8630" w:h="624" w:hRule="exact" w:wrap="around" w:x="1576" w:y="2920"/>
        <w:rPr>
          <w:rFonts w:ascii="Times New Roman" w:hAnsi="Times New Roman"/>
          <w:color w:val="000000" w:themeColor="text1"/>
          <w:sz w:val="44"/>
          <w:szCs w:val="48"/>
          <w14:textFill>
            <w14:solidFill>
              <w14:schemeClr w14:val="tx1"/>
            </w14:solidFill>
          </w14:textFill>
        </w:rPr>
      </w:pPr>
      <w:r>
        <w:rPr>
          <w:rFonts w:hint="eastAsia" w:ascii="Times New Roman" w:hAnsi="Times New Roman"/>
          <w:color w:val="000000" w:themeColor="text1"/>
          <w:sz w:val="44"/>
          <w:szCs w:val="48"/>
          <w14:textFill>
            <w14:solidFill>
              <w14:schemeClr w14:val="tx1"/>
            </w14:solidFill>
          </w14:textFill>
        </w:rPr>
        <w:t>团体标准</w:t>
      </w:r>
    </w:p>
    <w:p w14:paraId="2A32E006">
      <w:pPr>
        <w:ind w:firstLine="6510" w:firstLineChars="3100"/>
        <w:rPr>
          <w:rFonts w:hint="eastAsia" w:ascii="黑体" w:hAnsi="黑体" w:eastAsia="黑体" w:cs="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389255</wp:posOffset>
                </wp:positionV>
                <wp:extent cx="5938520" cy="6985"/>
                <wp:effectExtent l="0" t="4445" r="5080" b="11430"/>
                <wp:wrapNone/>
                <wp:docPr id="1" name="Line 2"/>
                <wp:cNvGraphicFramePr/>
                <a:graphic xmlns:a="http://schemas.openxmlformats.org/drawingml/2006/main">
                  <a:graphicData uri="http://schemas.microsoft.com/office/word/2010/wordprocessingShape">
                    <wps:wsp>
                      <wps:cNvCnPr>
                        <a:cxnSpLocks noChangeShapeType="1"/>
                      </wps:cNvCnPr>
                      <wps:spPr bwMode="auto">
                        <a:xfrm flipV="1">
                          <a:off x="0" y="0"/>
                          <a:ext cx="5938520" cy="6985"/>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flip:y;margin-left:-3.05pt;margin-top:30.65pt;height:0.55pt;width:467.6pt;z-index:251662336;mso-width-relative:page;mso-height-relative:page;" filled="f" stroked="t" coordsize="21600,21600" o:gfxdata="UEsDBAoAAAAAAIdO4kAAAAAAAAAAAAAAAAAEAAAAZHJzL1BLAwQUAAAACACHTuJAeKHEgdYAAAAI&#10;AQAADwAAAGRycy9kb3ducmV2LnhtbE2PwU7DMBBE70j8g7VI3Fo7KYpIGqdCCLggIVECZyfeJhHx&#10;OordtPw9y4ked2Y0+6bcnd0oFpzD4ElDslYgkFpvB+o01B/Pq3sQIRqyZvSEGn4wwK66vipNYf2J&#10;3nHZx05wCYXCaOhjnAopQ9ujM2HtJyT2Dn52JvI5d9LO5sTlbpSpUpl0ZiD+0JsJH3tsv/dHp+Hh&#10;6/Vp87Y0zo827+pP62r1kmp9e5OoLYiI5/gfhj98RoeKmRp/JBvEqGGVJZzUkCUbEOznac5Cw0J6&#10;B7Iq5eWA6hdQSwMEFAAAAAgAh07iQIRgO9zXAQAAugMAAA4AAABkcnMvZTJvRG9jLnhtbK1TwW7b&#10;MAy9D9g/CLovTjK4SIw4PSToLtkWoO3uiizbwiRREJXY+ftRSpqu3aWH+SCIIvnI90iv7kdr2EkF&#10;1OBqPptMOVNOQqNdV/Pnp4cvC84wCtcIA07V/KyQ368/f1oNvlJz6ME0KjACcVgNvuZ9jL4qCpS9&#10;sgIn4JUjZwvBikhm6IomiIHQrSnm0+ldMUBofACpEOl1e3HyK2L4CCC0rZZqC/JolYsX1KCMiEQJ&#10;e+2Rr3O3batk/Nm2qCIzNSemMZ9UhO6HdBbrlai6IHyv5bUF8ZEW3nGyQjsqeoPaiijYMeh/oKyW&#10;ARDaOJFgiwuRrAixmE3fafPYC68yF5Ia/U10/H+w8sdpH5huaBM4c8LSwHfaKTZPygweKwrYuH1I&#10;3OToHv0O5G9kDja9cJ3KHT6dPaXNUkbxJiUZ6An/MHyHhmLEMUKWaWyDZa3R/ldKTOAkBRvzXM63&#10;uagxMkmP5fLropzTyCT57paLMpcSVUJJuT5g/KbAsnSpuSECGVOcdhhTV68hKdzBgzYmT944NtR8&#10;Wc7LnIBgdJOcKQxDd9iYwE4i7U7+rnXfhAU4uuZSxLiUp/LaXSu/SHAR8wDNeR9edKKR5t6u65d2&#10;5m87q/n6y6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ihxIHWAAAACAEAAA8AAAAAAAAAAQAg&#10;AAAAIgAAAGRycy9kb3ducmV2LnhtbFBLAQIUABQAAAAIAIdO4kCEYDvc1wEAALoDAAAOAAAAAAAA&#10;AAEAIAAAACUBAABkcnMvZTJvRG9jLnhtbFBLBQYAAAAABgAGAFkBAABuBQAAAAA=&#10;">
                <v:fill on="f" focussize="0,0"/>
                <v:stroke color="#000000" joinstyle="round"/>
                <v:imagedata o:title=""/>
                <o:lock v:ext="edit" aspectratio="f"/>
              </v:line>
            </w:pict>
          </mc:Fallback>
        </mc:AlternateContent>
      </w:r>
      <w:r>
        <w:rPr>
          <w:rFonts w:hint="eastAsia" w:ascii="黑体" w:hAnsi="黑体" w:eastAsia="黑体" w:cs="黑体"/>
          <w:color w:val="000000" w:themeColor="text1"/>
          <w:sz w:val="32"/>
          <w:szCs w:val="32"/>
          <w14:textFill>
            <w14:solidFill>
              <w14:schemeClr w14:val="tx1"/>
            </w14:solidFill>
          </w14:textFill>
        </w:rPr>
        <w:t>T/HNWX 003—2024</w:t>
      </w:r>
    </w:p>
    <w:p w14:paraId="7CC907D0">
      <w:pPr>
        <w:spacing w:line="700" w:lineRule="exact"/>
        <w:jc w:val="center"/>
        <w:rPr>
          <w:rFonts w:hint="eastAsia" w:ascii="黑体" w:hAnsi="黑体" w:eastAsia="黑体" w:cs="黑体"/>
          <w:sz w:val="44"/>
          <w:szCs w:val="44"/>
        </w:rPr>
      </w:pPr>
      <w:bookmarkStart w:id="0" w:name="_Toc22996"/>
      <w:bookmarkStart w:id="1" w:name="_Toc17186"/>
      <w:bookmarkStart w:id="2" w:name="_Toc3299"/>
      <w:bookmarkStart w:id="3" w:name="_Toc23640"/>
      <w:bookmarkStart w:id="4" w:name="_Toc18217"/>
      <w:bookmarkStart w:id="5" w:name="_Toc16848"/>
    </w:p>
    <w:bookmarkEnd w:id="0"/>
    <w:bookmarkEnd w:id="1"/>
    <w:bookmarkEnd w:id="2"/>
    <w:bookmarkEnd w:id="3"/>
    <w:bookmarkEnd w:id="4"/>
    <w:bookmarkEnd w:id="5"/>
    <w:p w14:paraId="473DBB43">
      <w:pPr>
        <w:spacing w:line="680" w:lineRule="exact"/>
        <w:jc w:val="center"/>
        <w:rPr>
          <w:rFonts w:hint="eastAsia" w:ascii="黑体" w:hAnsi="黑体" w:eastAsia="黑体" w:cs="黑体"/>
          <w:b/>
          <w:bCs/>
          <w:sz w:val="44"/>
          <w:szCs w:val="44"/>
        </w:rPr>
      </w:pPr>
    </w:p>
    <w:p w14:paraId="2645C731">
      <w:pPr>
        <w:spacing w:line="680" w:lineRule="exact"/>
        <w:jc w:val="center"/>
        <w:outlineLvl w:val="0"/>
        <w:rPr>
          <w:rFonts w:hint="eastAsia" w:ascii="微软雅黑" w:hAnsi="微软雅黑" w:eastAsia="微软雅黑"/>
          <w:b/>
          <w:bCs/>
          <w:sz w:val="44"/>
          <w:szCs w:val="44"/>
        </w:rPr>
      </w:pPr>
      <w:bookmarkStart w:id="6" w:name="_Toc29550"/>
      <w:bookmarkStart w:id="7" w:name="_Toc28570"/>
      <w:r>
        <w:rPr>
          <w:rFonts w:hint="eastAsia" w:ascii="微软雅黑" w:hAnsi="微软雅黑" w:eastAsia="微软雅黑"/>
          <w:b/>
          <w:bCs/>
          <w:sz w:val="44"/>
          <w:szCs w:val="44"/>
        </w:rPr>
        <w:t>住宅小区业主委员会规范建设</w:t>
      </w:r>
      <w:bookmarkEnd w:id="6"/>
      <w:r>
        <w:rPr>
          <w:rFonts w:hint="eastAsia" w:ascii="微软雅黑" w:hAnsi="微软雅黑" w:eastAsia="微软雅黑"/>
          <w:b/>
          <w:bCs/>
          <w:sz w:val="44"/>
          <w:szCs w:val="44"/>
        </w:rPr>
        <w:t>工作指引</w:t>
      </w:r>
      <w:bookmarkEnd w:id="7"/>
    </w:p>
    <w:p w14:paraId="5DF77213">
      <w:pPr>
        <w:rPr>
          <w:rFonts w:hint="eastAsia"/>
        </w:rPr>
      </w:pPr>
    </w:p>
    <w:p w14:paraId="78E0237B">
      <w:pPr>
        <w:rPr>
          <w:rFonts w:hint="eastAsia"/>
        </w:rPr>
      </w:pPr>
    </w:p>
    <w:p w14:paraId="49BE2B0E">
      <w:pPr>
        <w:rPr>
          <w:rFonts w:hint="eastAsia"/>
        </w:rPr>
      </w:pPr>
    </w:p>
    <w:p w14:paraId="1F869E37">
      <w:pPr>
        <w:rPr>
          <w:rFonts w:hint="eastAsia"/>
        </w:rPr>
      </w:pPr>
    </w:p>
    <w:p w14:paraId="0A706D90">
      <w:pPr>
        <w:rPr>
          <w:rFonts w:hint="eastAsia"/>
        </w:rPr>
      </w:pPr>
    </w:p>
    <w:p w14:paraId="1627EF07">
      <w:pPr>
        <w:rPr>
          <w:rFonts w:hint="eastAsia"/>
        </w:rPr>
      </w:pPr>
    </w:p>
    <w:p w14:paraId="15099E7C">
      <w:pPr>
        <w:rPr>
          <w:rFonts w:hint="eastAsia"/>
        </w:rPr>
      </w:pPr>
    </w:p>
    <w:p w14:paraId="2D11C4B4">
      <w:pPr>
        <w:rPr>
          <w:rFonts w:hint="eastAsia"/>
        </w:rPr>
      </w:pPr>
    </w:p>
    <w:p w14:paraId="1DB3F613">
      <w:pPr>
        <w:rPr>
          <w:rFonts w:hint="eastAsia"/>
        </w:rPr>
      </w:pPr>
    </w:p>
    <w:p w14:paraId="1BF3F1B9">
      <w:pPr>
        <w:rPr>
          <w:rFonts w:hint="eastAsia"/>
        </w:rPr>
      </w:pPr>
    </w:p>
    <w:p w14:paraId="788D103C">
      <w:pPr>
        <w:rPr>
          <w:rFonts w:hint="eastAsia"/>
        </w:rPr>
      </w:pPr>
    </w:p>
    <w:p w14:paraId="56B4B951">
      <w:pPr>
        <w:rPr>
          <w:rFonts w:hint="eastAsia"/>
        </w:rPr>
      </w:pPr>
      <w:r>
        <w:rPr>
          <w:rFonts w:hint="eastAsia"/>
        </w:rPr>
        <w:t xml:space="preserve">  </w:t>
      </w:r>
    </w:p>
    <w:p w14:paraId="6E364B70">
      <w:pPr>
        <w:rPr>
          <w:rFonts w:hint="eastAsia"/>
        </w:rPr>
      </w:pPr>
    </w:p>
    <w:p w14:paraId="33F900EC">
      <w:pPr>
        <w:pStyle w:val="38"/>
        <w:framePr w:wrap="around" w:x="3978" w:y="13715"/>
        <w:ind w:firstLine="960" w:firstLineChars="300"/>
        <w:rPr>
          <w:color w:val="000000" w:themeColor="text1"/>
          <w14:textFill>
            <w14:solidFill>
              <w14:schemeClr w14:val="tx1"/>
            </w14:solidFill>
          </w14:textFill>
        </w:rPr>
      </w:pPr>
      <w:r>
        <w:rPr>
          <w:rFonts w:hint="eastAsia" w:ascii="黑体" w:hAnsi="黑体" w:cs="黑体"/>
          <w:color w:val="000000" w:themeColor="text1"/>
          <w:sz w:val="32"/>
          <w:szCs w:val="21"/>
          <w14:textFill>
            <w14:solidFill>
              <w14:schemeClr w14:val="tx1"/>
            </w14:solidFill>
          </w14:textFill>
        </w:rPr>
        <w:t>2025-04-1</w:t>
      </w:r>
      <w:r>
        <w:rPr>
          <w:rFonts w:hint="eastAsia" w:ascii="黑体" w:hAnsi="黑体" w:cs="黑体"/>
          <w:color w:val="000000" w:themeColor="text1"/>
          <w:sz w:val="32"/>
          <w:szCs w:val="21"/>
          <w:lang w:val="en-US" w:eastAsia="zh-CN"/>
          <w14:textFill>
            <w14:solidFill>
              <w14:schemeClr w14:val="tx1"/>
            </w14:solidFill>
          </w14:textFill>
        </w:rPr>
        <w:t>1</w:t>
      </w:r>
      <w:r>
        <w:rPr>
          <w:rFonts w:hint="eastAsia" w:ascii="黑体" w:hAnsi="黑体" w:cs="黑体"/>
          <w:color w:val="000000" w:themeColor="text1"/>
          <w:sz w:val="32"/>
          <w:szCs w:val="2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5"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0pt;margin-top:184.2pt;height:0pt;width:481.9pt;z-index:251661312;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f6Wc/M0BAACtAwAADgAAAGRycy9lMm9Eb2MueG1srVPBbtsw&#10;DL0P2D8Iui9OMiTYjDg9JOgu2Rag3QcosmwLk0RBVGLn70fJcdp1lx7mgyCK5CPfI715GKxhFxVQ&#10;g6v4YjbnTDkJtXZtxX89P376whlG4WphwKmKXxXyh+3HD5vel2oJHZhaBUYgDsveV7yL0ZdFgbJT&#10;VuAMvHLkbCBYEckMbVEH0RO6NcVyPl8XPYTaB5AKkV73o5PfEMN7AKFptFR7kGerXBxRgzIiEiXs&#10;tEe+zd02jZLxZ9OgisxUnJjGfFIRup/SWWw3omyD8J2WtxbEe1p4w8kK7ajoHWovomDnoP+BsloG&#10;QGjiTIItRiJZEWKxmL/R5qkTXmUuJDX6u+j4/2Dlj8sxMF1XfMWZE5YGftBOsXVSpvdYUsDOHUPi&#10;Jgf35A8gfyNzsOuEa1Xu8PnqKW2RMoq/UpKBnvBP/XeoKUacI2SZhibYBEkCsCFP43qfhhoik/S4&#10;XpAkn2lQcvIVopwSfcD4TYFl6VJxQz1nYHE5YEyNiHIKSXUcPGpj8rCNY33Fv66Wq5yAYHSdnCkM&#10;Q3vamcAuIq1L/jIr8rwOC3B29VjEuJSn8qbdKk+sR/1OUF+PYZKGpph7u21cWpPXdhbw5S/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3ymz1QAAAAgBAAAPAAAAAAAAAAEAIAAAACIAAABkcnMv&#10;ZG93bnJldi54bWxQSwECFAAUAAAACACHTuJAf6Wc/M0BAACtAwAADgAAAAAAAAABACAAAAAkAQAA&#10;ZHJzL2Uyb0RvYy54bWxQSwUGAAAAAAYABgBZAQAAYwU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left:0pt;margin-top:700.15pt;height:0pt;width:481.9pt;z-index:251660288;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ac2HEM0BAACtAwAADgAAAGRycy9lMm9Eb2MueG1srVPBbtsw&#10;DL0P2D8Iui9OsqXYjDg9JOgu2Rag3QcosmwLlURBVGLn70fJcdZ1lx7qgyCK5CPfI72+H6xhZxVQ&#10;g6v4YjbnTDkJtXZtxX8/PXz6yhlG4WphwKmKXxTy+83HD+vel2oJHZhaBUYgDsveV7yL0ZdFgbJT&#10;VuAMvHLkbCBYEckMbVEH0RO6NcVyPr8regi1DyAVIr3uRie/Ioa3AELTaKl2IE9WuTiiBmVEJErY&#10;aY98k7ttGiXjr6ZBFZmpODGN+aQidD+ms9isRdkG4Tstry2It7TwipMV2lHRG9RORMFOQf8HZbUM&#10;gNDEmQRbjESyIsRiMX+lzWMnvMpcSGr0N9Hx/WDlz/MhMF1X/AtnTlga+F47xVZJmd5jSQFbdwiJ&#10;mxzco9+DfEbmYNsJ16rc4dPFU9oiZRT/pCQDPeEf+x9QU4w4RcgyDU2wCZIEYEOexuU2DTVEJunx&#10;bkGSfKZByclXiHJK9AHjdwWWpUvFDfWcgcV5jzE1IsopJNVx8KCNycM2jvUV/7ZarnICgtF1cqYw&#10;DO1xawI7i7Qu+cusyPMyLMDJ1WMR41Keypt2rTyxHvU7Qn05hEkammLu7bpxaU1e2lnAv3/Z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r9Go1QAAAAoBAAAPAAAAAAAAAAEAIAAAACIAAABkcnMv&#10;ZG93bnJldi54bWxQSwECFAAUAAAACACHTuJAac2HEM0BAACtAwAADgAAAAAAAAABACAAAAAkAQAA&#10;ZHJzL2Uyb0RvYy54bWxQSwUGAAAAAAYABgBZAQAAYwUAAAAA&#10;">
                <v:fill on="f" focussize="0,0"/>
                <v:stroke color="#000000" joinstyle="round"/>
                <v:imagedata o:title=""/>
                <o:lock v:ext="edit" aspectratio="f"/>
              </v:line>
            </w:pict>
          </mc:Fallback>
        </mc:AlternateContent>
      </w:r>
    </w:p>
    <w:p w14:paraId="72A533AD">
      <w:pPr>
        <w:framePr w:w="9352" w:h="480" w:hRule="exact" w:wrap="around" w:vAnchor="page" w:hAnchor="page" w:x="1270" w:y="13991"/>
        <w:rPr>
          <w:rFonts w:hint="eastAsia"/>
          <w:u w:val="single"/>
        </w:rPr>
      </w:pPr>
      <w:r>
        <w:rPr>
          <w:rFonts w:hint="eastAsia"/>
          <w:u w:val="single"/>
        </w:rPr>
        <w:t xml:space="preserve"> </w:t>
      </w:r>
      <w:r>
        <w:rPr>
          <w:u w:val="single"/>
        </w:rPr>
        <w:t xml:space="preserve">                                                                                        </w:t>
      </w:r>
    </w:p>
    <w:p w14:paraId="46BC5ACD">
      <w:pPr>
        <w:pStyle w:val="35"/>
        <w:framePr w:w="7191" w:h="520" w:hRule="exact" w:wrap="around" w:x="2545" w:y="14485"/>
        <w:jc w:val="both"/>
        <w:rPr>
          <w:color w:val="000000" w:themeColor="text1"/>
          <w:sz w:val="32"/>
          <w:szCs w:val="21"/>
          <w14:textFill>
            <w14:solidFill>
              <w14:schemeClr w14:val="tx1"/>
            </w14:solidFill>
          </w14:textFill>
        </w:rPr>
      </w:pPr>
      <w:r>
        <w:rPr>
          <w:rStyle w:val="37"/>
          <w:rFonts w:hint="eastAsia"/>
          <w:sz w:val="32"/>
          <w:szCs w:val="32"/>
        </w:rPr>
        <w:t xml:space="preserve">湖南省物业管理行业协会 </w:t>
      </w:r>
      <w:r>
        <w:rPr>
          <w:rStyle w:val="37"/>
          <w:rFonts w:hint="eastAsia"/>
          <w:color w:val="000000" w:themeColor="text1"/>
          <w:sz w:val="32"/>
          <w:szCs w:val="32"/>
          <w14:textFill>
            <w14:solidFill>
              <w14:schemeClr w14:val="tx1"/>
            </w14:solidFill>
          </w14:textFill>
        </w:rPr>
        <w:t>发布</w:t>
      </w:r>
    </w:p>
    <w:p w14:paraId="42F43421">
      <w:pPr>
        <w:rPr>
          <w:rFonts w:hint="eastAsia" w:ascii="黑体" w:hAnsi="黑体" w:eastAsia="黑体" w:cs="黑体"/>
          <w:sz w:val="28"/>
          <w:szCs w:val="28"/>
        </w:rPr>
      </w:pPr>
    </w:p>
    <w:p w14:paraId="2D809EAC">
      <w:pPr>
        <w:rPr>
          <w:rFonts w:hint="eastAsia" w:ascii="黑体" w:hAnsi="黑体" w:eastAsia="黑体" w:cs="黑体"/>
          <w:sz w:val="28"/>
          <w:szCs w:val="28"/>
        </w:rPr>
      </w:pPr>
    </w:p>
    <w:sdt>
      <w:sdtPr>
        <w:rPr>
          <w:rFonts w:hint="eastAsia" w:ascii="黑体" w:hAnsi="黑体" w:eastAsia="黑体" w:cs="黑体"/>
          <w:b/>
          <w:bCs/>
          <w:sz w:val="32"/>
          <w:szCs w:val="36"/>
        </w:rPr>
        <w:id w:val="147478244"/>
        <w15:color w:val="DBDBDB"/>
        <w:docPartObj>
          <w:docPartGallery w:val="Table of Contents"/>
          <w:docPartUnique/>
        </w:docPartObj>
      </w:sdtPr>
      <w:sdtEndPr>
        <w:rPr>
          <w:rFonts w:hint="eastAsia" w:asciiTheme="minorHAnsi" w:hAnsiTheme="minorHAnsi" w:eastAsiaTheme="minorEastAsia" w:cstheme="minorBidi"/>
          <w:b/>
          <w:bCs/>
          <w:sz w:val="21"/>
          <w:szCs w:val="22"/>
        </w:rPr>
      </w:sdtEndPr>
      <w:sdtContent>
        <w:p w14:paraId="3A53E74E">
          <w:pPr>
            <w:jc w:val="center"/>
            <w:rPr>
              <w:rFonts w:hint="eastAsia" w:ascii="黑体" w:hAnsi="黑体" w:eastAsia="黑体" w:cs="黑体"/>
              <w:b/>
              <w:bCs/>
              <w:sz w:val="32"/>
              <w:szCs w:val="36"/>
            </w:rPr>
          </w:pPr>
          <w:r>
            <w:rPr>
              <w:rFonts w:hint="eastAsia" w:ascii="黑体" w:hAnsi="黑体" w:eastAsia="黑体" w:cs="黑体"/>
              <w:b/>
              <w:bCs/>
              <w:sz w:val="32"/>
              <w:szCs w:val="36"/>
            </w:rPr>
            <w:t>目 录</w:t>
          </w:r>
        </w:p>
        <w:p w14:paraId="3FDD655E">
          <w:pPr>
            <w:pStyle w:val="11"/>
            <w:tabs>
              <w:tab w:val="right" w:leader="dot" w:pos="9070"/>
            </w:tabs>
            <w:rPr>
              <w:rFonts w:hint="eastAsia"/>
            </w:rPr>
          </w:pPr>
          <w:r>
            <w:rPr>
              <w:rFonts w:cstheme="minorBidi"/>
              <w:kern w:val="2"/>
              <w:sz w:val="21"/>
            </w:rPr>
            <w:fldChar w:fldCharType="begin"/>
          </w:r>
          <w:r>
            <w:rPr>
              <w:rFonts w:cstheme="minorBidi"/>
              <w:kern w:val="2"/>
              <w:sz w:val="21"/>
            </w:rPr>
            <w:instrText xml:space="preserve">TOC \o "1-1" \h \u </w:instrText>
          </w:r>
          <w:r>
            <w:rPr>
              <w:rFonts w:cstheme="minorBidi"/>
              <w:kern w:val="2"/>
              <w:sz w:val="21"/>
            </w:rPr>
            <w:fldChar w:fldCharType="separate"/>
          </w:r>
        </w:p>
        <w:p w14:paraId="2B868C4F">
          <w:pPr>
            <w:pStyle w:val="11"/>
            <w:tabs>
              <w:tab w:val="right" w:leader="dot" w:pos="9070"/>
            </w:tabs>
            <w:rPr>
              <w:rFonts w:hint="eastAsia"/>
            </w:rPr>
          </w:pPr>
          <w:r>
            <w:fldChar w:fldCharType="begin"/>
          </w:r>
          <w:r>
            <w:instrText xml:space="preserve"> HYPERLINK \l "_Toc30514" </w:instrText>
          </w:r>
          <w:r>
            <w:fldChar w:fldCharType="separate"/>
          </w:r>
          <w:r>
            <w:rPr>
              <w:rFonts w:hint="eastAsia" w:ascii="黑体" w:hAnsi="黑体" w:eastAsia="黑体" w:cs="黑体"/>
              <w:szCs w:val="32"/>
            </w:rPr>
            <w:t>前 言</w:t>
          </w:r>
          <w:r>
            <w:tab/>
          </w:r>
          <w:r>
            <w:fldChar w:fldCharType="begin"/>
          </w:r>
          <w:r>
            <w:instrText xml:space="preserve"> PAGEREF _Toc30514 \h </w:instrText>
          </w:r>
          <w:r>
            <w:fldChar w:fldCharType="separate"/>
          </w:r>
          <w:r>
            <w:t>2</w:t>
          </w:r>
          <w:r>
            <w:fldChar w:fldCharType="end"/>
          </w:r>
          <w:r>
            <w:fldChar w:fldCharType="end"/>
          </w:r>
        </w:p>
        <w:p w14:paraId="63C17F46">
          <w:pPr>
            <w:pStyle w:val="11"/>
            <w:tabs>
              <w:tab w:val="right" w:leader="dot" w:pos="9070"/>
            </w:tabs>
            <w:rPr>
              <w:rFonts w:hint="eastAsia"/>
            </w:rPr>
          </w:pPr>
          <w:r>
            <w:fldChar w:fldCharType="begin"/>
          </w:r>
          <w:r>
            <w:instrText xml:space="preserve"> HYPERLINK \l "_Toc11667" </w:instrText>
          </w:r>
          <w:r>
            <w:fldChar w:fldCharType="separate"/>
          </w:r>
          <w:r>
            <w:rPr>
              <w:rFonts w:ascii="黑体" w:hAnsi="Times New Roman" w:eastAsia="黑体"/>
              <w:bCs/>
              <w:szCs w:val="21"/>
            </w:rPr>
            <w:t xml:space="preserve">1 </w:t>
          </w:r>
          <w:r>
            <w:rPr>
              <w:rFonts w:hint="eastAsia"/>
              <w:bCs/>
            </w:rPr>
            <w:t>目的</w:t>
          </w:r>
          <w:r>
            <w:tab/>
          </w:r>
          <w:r>
            <w:fldChar w:fldCharType="begin"/>
          </w:r>
          <w:r>
            <w:instrText xml:space="preserve"> PAGEREF _Toc11667 \h </w:instrText>
          </w:r>
          <w:r>
            <w:fldChar w:fldCharType="separate"/>
          </w:r>
          <w:r>
            <w:t>4</w:t>
          </w:r>
          <w:r>
            <w:fldChar w:fldCharType="end"/>
          </w:r>
          <w:r>
            <w:fldChar w:fldCharType="end"/>
          </w:r>
        </w:p>
        <w:p w14:paraId="113C92B3">
          <w:pPr>
            <w:pStyle w:val="11"/>
            <w:tabs>
              <w:tab w:val="right" w:leader="dot" w:pos="9070"/>
            </w:tabs>
            <w:rPr>
              <w:rFonts w:hint="eastAsia"/>
            </w:rPr>
          </w:pPr>
          <w:r>
            <w:fldChar w:fldCharType="begin"/>
          </w:r>
          <w:r>
            <w:instrText xml:space="preserve"> HYPERLINK \l "_Toc29862" </w:instrText>
          </w:r>
          <w:r>
            <w:fldChar w:fldCharType="separate"/>
          </w:r>
          <w:r>
            <w:rPr>
              <w:rFonts w:ascii="黑体" w:hAnsi="Times New Roman" w:eastAsia="黑体"/>
              <w:bCs/>
              <w:szCs w:val="21"/>
            </w:rPr>
            <w:t xml:space="preserve">2 </w:t>
          </w:r>
          <w:r>
            <w:rPr>
              <w:rFonts w:hint="eastAsia"/>
              <w:bCs/>
            </w:rPr>
            <w:t>范围</w:t>
          </w:r>
          <w:r>
            <w:tab/>
          </w:r>
          <w:r>
            <w:fldChar w:fldCharType="begin"/>
          </w:r>
          <w:r>
            <w:instrText xml:space="preserve"> PAGEREF _Toc29862 \h </w:instrText>
          </w:r>
          <w:r>
            <w:fldChar w:fldCharType="separate"/>
          </w:r>
          <w:r>
            <w:t>4</w:t>
          </w:r>
          <w:r>
            <w:fldChar w:fldCharType="end"/>
          </w:r>
          <w:r>
            <w:fldChar w:fldCharType="end"/>
          </w:r>
        </w:p>
        <w:p w14:paraId="5BD49094">
          <w:pPr>
            <w:pStyle w:val="11"/>
            <w:tabs>
              <w:tab w:val="right" w:leader="dot" w:pos="9070"/>
            </w:tabs>
            <w:rPr>
              <w:rFonts w:hint="eastAsia"/>
            </w:rPr>
          </w:pPr>
          <w:r>
            <w:fldChar w:fldCharType="begin"/>
          </w:r>
          <w:r>
            <w:instrText xml:space="preserve"> HYPERLINK \l "_Toc11193" </w:instrText>
          </w:r>
          <w:r>
            <w:fldChar w:fldCharType="separate"/>
          </w:r>
          <w:r>
            <w:rPr>
              <w:rFonts w:hint="eastAsia"/>
            </w:rPr>
            <w:t>3  规范性引用文件</w:t>
          </w:r>
          <w:r>
            <w:tab/>
          </w:r>
          <w:r>
            <w:fldChar w:fldCharType="begin"/>
          </w:r>
          <w:r>
            <w:instrText xml:space="preserve"> PAGEREF _Toc11193 \h </w:instrText>
          </w:r>
          <w:r>
            <w:fldChar w:fldCharType="separate"/>
          </w:r>
          <w:r>
            <w:t>4</w:t>
          </w:r>
          <w:r>
            <w:fldChar w:fldCharType="end"/>
          </w:r>
          <w:r>
            <w:fldChar w:fldCharType="end"/>
          </w:r>
        </w:p>
        <w:p w14:paraId="04BB5669">
          <w:pPr>
            <w:pStyle w:val="11"/>
            <w:tabs>
              <w:tab w:val="right" w:leader="dot" w:pos="9070"/>
            </w:tabs>
            <w:rPr>
              <w:rFonts w:hint="eastAsia"/>
            </w:rPr>
          </w:pPr>
          <w:r>
            <w:fldChar w:fldCharType="begin"/>
          </w:r>
          <w:r>
            <w:instrText xml:space="preserve"> HYPERLINK \l "_Toc16583" </w:instrText>
          </w:r>
          <w:r>
            <w:fldChar w:fldCharType="separate"/>
          </w:r>
          <w:r>
            <w:rPr>
              <w:rFonts w:hint="eastAsia"/>
              <w:bCs/>
            </w:rPr>
            <w:t>4  术语和定义</w:t>
          </w:r>
          <w:r>
            <w:tab/>
          </w:r>
          <w:r>
            <w:fldChar w:fldCharType="begin"/>
          </w:r>
          <w:r>
            <w:instrText xml:space="preserve"> PAGEREF _Toc16583 \h </w:instrText>
          </w:r>
          <w:r>
            <w:fldChar w:fldCharType="separate"/>
          </w:r>
          <w:r>
            <w:t>4</w:t>
          </w:r>
          <w:r>
            <w:fldChar w:fldCharType="end"/>
          </w:r>
          <w:r>
            <w:fldChar w:fldCharType="end"/>
          </w:r>
        </w:p>
        <w:p w14:paraId="21EEA90D">
          <w:pPr>
            <w:pStyle w:val="11"/>
            <w:tabs>
              <w:tab w:val="right" w:leader="dot" w:pos="9070"/>
            </w:tabs>
            <w:rPr>
              <w:rFonts w:hint="eastAsia"/>
            </w:rPr>
          </w:pPr>
          <w:r>
            <w:fldChar w:fldCharType="begin"/>
          </w:r>
          <w:r>
            <w:instrText xml:space="preserve"> HYPERLINK \l "_Toc30012" </w:instrText>
          </w:r>
          <w:r>
            <w:fldChar w:fldCharType="separate"/>
          </w:r>
          <w:r>
            <w:rPr>
              <w:rFonts w:hint="eastAsia"/>
              <w:bCs/>
            </w:rPr>
            <w:t>6  工作要求</w:t>
          </w:r>
          <w:r>
            <w:tab/>
          </w:r>
          <w:r>
            <w:rPr>
              <w:rFonts w:hint="eastAsia"/>
              <w:lang w:val="en-US" w:eastAsia="zh-CN"/>
            </w:rPr>
            <w:t>6</w:t>
          </w:r>
          <w:r>
            <w:fldChar w:fldCharType="end"/>
          </w:r>
        </w:p>
        <w:p w14:paraId="5BD82652">
          <w:pPr>
            <w:rPr>
              <w:rFonts w:hint="eastAsia"/>
            </w:rPr>
          </w:pPr>
          <w:r>
            <w:fldChar w:fldCharType="end"/>
          </w:r>
        </w:p>
      </w:sdtContent>
    </w:sdt>
    <w:p w14:paraId="0E430663">
      <w:pPr>
        <w:rPr>
          <w:rFonts w:hint="eastAsia"/>
        </w:rPr>
      </w:pPr>
    </w:p>
    <w:p w14:paraId="3C58BB56">
      <w:pPr>
        <w:rPr>
          <w:rFonts w:hint="eastAsia"/>
        </w:rPr>
      </w:pPr>
    </w:p>
    <w:p w14:paraId="3317B500">
      <w:pPr>
        <w:rPr>
          <w:rFonts w:hint="eastAsia"/>
        </w:rPr>
      </w:pPr>
    </w:p>
    <w:p w14:paraId="2F8783EA">
      <w:pPr>
        <w:rPr>
          <w:rFonts w:hint="eastAsia"/>
        </w:rPr>
      </w:pPr>
    </w:p>
    <w:p w14:paraId="7CDC6359">
      <w:pPr>
        <w:rPr>
          <w:rFonts w:hint="eastAsia"/>
        </w:rPr>
      </w:pPr>
    </w:p>
    <w:p w14:paraId="2DDC4824">
      <w:pPr>
        <w:rPr>
          <w:rFonts w:hint="eastAsia"/>
        </w:rPr>
      </w:pPr>
    </w:p>
    <w:p w14:paraId="76C85BD3">
      <w:pPr>
        <w:pStyle w:val="39"/>
        <w:framePr w:wrap="around" w:x="3732" w:y="13733"/>
        <w:rPr>
          <w:rFonts w:hint="eastAsia" w:ascii="黑体" w:hAnsi="黑体" w:cs="黑体"/>
          <w:color w:val="000000" w:themeColor="text1"/>
          <w:sz w:val="32"/>
          <w:szCs w:val="32"/>
          <w14:textFill>
            <w14:solidFill>
              <w14:schemeClr w14:val="tx1"/>
            </w14:solidFill>
          </w14:textFill>
        </w:rPr>
      </w:pPr>
      <w:r>
        <w:rPr>
          <w:rFonts w:hint="eastAsia" w:ascii="黑体" w:hAnsi="黑体" w:cs="黑体"/>
          <w:color w:val="000000" w:themeColor="text1"/>
          <w:sz w:val="32"/>
          <w:szCs w:val="32"/>
          <w14:textFill>
            <w14:solidFill>
              <w14:schemeClr w14:val="tx1"/>
            </w14:solidFill>
          </w14:textFill>
        </w:rPr>
        <w:t>2025-05-01实施</w:t>
      </w:r>
    </w:p>
    <w:p w14:paraId="7F77AA2E">
      <w:pPr>
        <w:rPr>
          <w:rFonts w:hint="eastAsia"/>
        </w:rPr>
      </w:pPr>
    </w:p>
    <w:p w14:paraId="2CC8A2B8">
      <w:pPr>
        <w:rPr>
          <w:rFonts w:hint="eastAsia"/>
        </w:rPr>
      </w:pPr>
    </w:p>
    <w:p w14:paraId="28173800">
      <w:pPr>
        <w:rPr>
          <w:rFonts w:hint="eastAsia" w:ascii="黑体" w:hAnsi="黑体" w:eastAsia="黑体" w:cs="黑体"/>
          <w:sz w:val="32"/>
          <w:szCs w:val="32"/>
        </w:rPr>
      </w:pPr>
    </w:p>
    <w:p w14:paraId="1DCC1299">
      <w:pPr>
        <w:pStyle w:val="2"/>
        <w:jc w:val="center"/>
        <w:rPr>
          <w:rFonts w:hint="eastAsia" w:ascii="黑体" w:hAnsi="黑体" w:eastAsia="黑体" w:cs="黑体"/>
          <w:b w:val="0"/>
          <w:bCs w:val="0"/>
          <w:sz w:val="32"/>
          <w:szCs w:val="32"/>
        </w:rPr>
      </w:pPr>
      <w:bookmarkStart w:id="8" w:name="_Toc30514"/>
      <w:bookmarkStart w:id="9" w:name="_Toc26186"/>
      <w:r>
        <w:rPr>
          <w:rFonts w:hint="eastAsia" w:ascii="黑体" w:hAnsi="黑体" w:eastAsia="黑体" w:cs="黑体"/>
          <w:b w:val="0"/>
          <w:bCs w:val="0"/>
          <w:sz w:val="32"/>
          <w:szCs w:val="32"/>
        </w:rPr>
        <w:t>前 言</w:t>
      </w:r>
      <w:bookmarkEnd w:id="8"/>
      <w:bookmarkEnd w:id="9"/>
    </w:p>
    <w:p w14:paraId="38F22CB5">
      <w:pPr>
        <w:ind w:firstLine="420" w:firstLineChars="200"/>
        <w:jc w:val="left"/>
        <w:rPr>
          <w:rFonts w:hint="eastAsia" w:ascii="宋体" w:hAnsi="宋体" w:eastAsia="宋体"/>
          <w:szCs w:val="21"/>
        </w:rPr>
      </w:pPr>
      <w:r>
        <w:rPr>
          <w:rFonts w:hint="eastAsia" w:ascii="宋体" w:hAnsi="宋体" w:eastAsia="宋体"/>
          <w:szCs w:val="21"/>
        </w:rPr>
        <w:t>本文件按照</w:t>
      </w:r>
      <w:r>
        <w:rPr>
          <w:rFonts w:ascii="宋体" w:hAnsi="宋体" w:eastAsia="宋体"/>
          <w:szCs w:val="21"/>
        </w:rPr>
        <w:t xml:space="preserve"> GB/T 1.1-2020 给出的规则起草。</w:t>
      </w:r>
    </w:p>
    <w:p w14:paraId="3DA9ED47">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本文件由湖南省物协标准化委员会提出并归口。</w:t>
      </w:r>
    </w:p>
    <w:p w14:paraId="1E77AF5B">
      <w:pPr>
        <w:ind w:firstLine="420" w:firstLineChars="200"/>
        <w:jc w:val="left"/>
        <w:rPr>
          <w:rFonts w:hint="eastAsia" w:ascii="宋体" w:hAnsi="宋体" w:eastAsia="宋体"/>
          <w:szCs w:val="21"/>
        </w:rPr>
      </w:pPr>
      <w:r>
        <w:rPr>
          <w:rFonts w:hint="eastAsia" w:ascii="宋体" w:hAnsi="宋体" w:eastAsia="宋体"/>
          <w:szCs w:val="21"/>
        </w:rPr>
        <w:t>本文件主编单位</w:t>
      </w:r>
      <w:r>
        <w:rPr>
          <w:rFonts w:hint="eastAsia" w:ascii="宋体" w:hAnsi="宋体" w:eastAsia="宋体"/>
          <w:szCs w:val="21"/>
          <w:lang w:eastAsia="zh-CN"/>
        </w:rPr>
        <w:t>：湖南省物业管理行业协会业主专业委员会</w:t>
      </w:r>
      <w:r>
        <w:rPr>
          <w:rFonts w:hint="eastAsia" w:ascii="宋体" w:hAnsi="宋体" w:eastAsia="宋体"/>
          <w:szCs w:val="21"/>
        </w:rPr>
        <w:tab/>
      </w:r>
    </w:p>
    <w:p w14:paraId="708F010F">
      <w:pPr>
        <w:ind w:firstLine="420" w:firstLineChars="200"/>
        <w:jc w:val="left"/>
        <w:rPr>
          <w:rFonts w:hint="eastAsia" w:ascii="宋体" w:hAnsi="宋体" w:eastAsia="宋体"/>
          <w:szCs w:val="21"/>
        </w:rPr>
      </w:pPr>
      <w:r>
        <w:rPr>
          <w:rFonts w:hint="eastAsia" w:ascii="宋体" w:hAnsi="宋体" w:eastAsia="宋体"/>
          <w:szCs w:val="21"/>
        </w:rPr>
        <w:t>本文件参编人员：</w:t>
      </w:r>
      <w:r>
        <w:rPr>
          <w:rFonts w:hint="eastAsia" w:ascii="宋体" w:hAnsi="宋体" w:eastAsia="宋体"/>
          <w:szCs w:val="21"/>
          <w:lang w:eastAsia="zh-CN"/>
        </w:rPr>
        <w:t>王崇连、王振、刘媛、伍洲红、孙英平、张建勋、沈更生、吴中华、李森林、罗艳霞、胡卫华、姜旭明、顾鹏、黄星、盛旭辉、彭颖玲、谢玲英（按姓氏笔画排名）</w:t>
      </w:r>
    </w:p>
    <w:p w14:paraId="392895D5">
      <w:pPr>
        <w:ind w:firstLine="420" w:firstLineChars="200"/>
        <w:rPr>
          <w:rFonts w:hint="eastAsia" w:ascii="宋体" w:hAnsi="宋体" w:eastAsia="宋体"/>
          <w:bCs/>
          <w:szCs w:val="21"/>
        </w:rPr>
      </w:pPr>
      <w:r>
        <w:rPr>
          <w:rFonts w:hint="eastAsia" w:ascii="宋体" w:hAnsi="宋体" w:eastAsia="宋体"/>
          <w:bCs/>
          <w:szCs w:val="21"/>
        </w:rPr>
        <w:t>本文件在实施中若有疑问或建议，请将咨询或修改建议等信息反馈至下列单位：</w:t>
      </w:r>
    </w:p>
    <w:p w14:paraId="6508F01B">
      <w:pPr>
        <w:ind w:firstLine="420" w:firstLineChars="200"/>
        <w:rPr>
          <w:rFonts w:hint="eastAsia" w:ascii="宋体" w:hAnsi="宋体" w:eastAsia="宋体"/>
          <w:bCs/>
          <w:szCs w:val="21"/>
        </w:rPr>
      </w:pPr>
      <w:r>
        <w:rPr>
          <w:rFonts w:hint="eastAsia" w:ascii="宋体" w:hAnsi="宋体" w:eastAsia="宋体"/>
          <w:bCs/>
          <w:szCs w:val="21"/>
        </w:rPr>
        <w:t>单位：湖南省物业管理行业协会</w:t>
      </w:r>
    </w:p>
    <w:p w14:paraId="22F032F2">
      <w:pPr>
        <w:ind w:firstLine="420" w:firstLineChars="200"/>
        <w:rPr>
          <w:rFonts w:hint="eastAsia" w:ascii="宋体" w:hAnsi="宋体" w:eastAsia="宋体"/>
          <w:bCs/>
          <w:szCs w:val="21"/>
        </w:rPr>
      </w:pPr>
      <w:r>
        <w:rPr>
          <w:rFonts w:hint="eastAsia" w:ascii="宋体" w:hAnsi="宋体" w:eastAsia="宋体"/>
          <w:bCs/>
          <w:szCs w:val="21"/>
        </w:rPr>
        <w:t>地址：湖南省长沙市雨花区树木岭路199号湖南物业协会大厦27楼</w:t>
      </w:r>
    </w:p>
    <w:p w14:paraId="73DF4068">
      <w:pPr>
        <w:ind w:firstLine="420" w:firstLineChars="200"/>
        <w:rPr>
          <w:rFonts w:hint="eastAsia" w:ascii="宋体" w:hAnsi="宋体" w:eastAsia="宋体"/>
          <w:bCs/>
          <w:szCs w:val="21"/>
        </w:rPr>
      </w:pPr>
      <w:r>
        <w:rPr>
          <w:rFonts w:hint="eastAsia" w:ascii="宋体" w:hAnsi="宋体" w:eastAsia="宋体"/>
          <w:bCs/>
          <w:szCs w:val="21"/>
        </w:rPr>
        <w:t>电话：0731-82295940</w:t>
      </w:r>
    </w:p>
    <w:p w14:paraId="56B6D575">
      <w:pPr>
        <w:rPr>
          <w:rFonts w:hint="eastAsia" w:ascii="微软雅黑" w:hAnsi="微软雅黑" w:eastAsia="微软雅黑"/>
          <w:sz w:val="24"/>
          <w:szCs w:val="28"/>
        </w:rPr>
      </w:pPr>
    </w:p>
    <w:p w14:paraId="3F27D720">
      <w:pPr>
        <w:rPr>
          <w:rFonts w:hint="eastAsia" w:ascii="微软雅黑" w:hAnsi="微软雅黑" w:eastAsia="微软雅黑"/>
          <w:sz w:val="24"/>
          <w:szCs w:val="28"/>
        </w:rPr>
      </w:pPr>
    </w:p>
    <w:p w14:paraId="7674B67F">
      <w:pPr>
        <w:rPr>
          <w:rFonts w:hint="eastAsia" w:ascii="微软雅黑" w:hAnsi="微软雅黑" w:eastAsia="微软雅黑"/>
          <w:sz w:val="24"/>
          <w:szCs w:val="28"/>
        </w:rPr>
      </w:pPr>
    </w:p>
    <w:p w14:paraId="768A181A">
      <w:pPr>
        <w:rPr>
          <w:rFonts w:hint="eastAsia" w:ascii="微软雅黑" w:hAnsi="微软雅黑" w:eastAsia="微软雅黑"/>
          <w:sz w:val="24"/>
          <w:szCs w:val="28"/>
        </w:rPr>
        <w:sectPr>
          <w:headerReference r:id="rId4" w:type="first"/>
          <w:footerReference r:id="rId6" w:type="first"/>
          <w:headerReference r:id="rId3" w:type="default"/>
          <w:footerReference r:id="rId5" w:type="default"/>
          <w:pgSz w:w="11906" w:h="16838"/>
          <w:pgMar w:top="1440" w:right="1418" w:bottom="1440" w:left="1418" w:header="1191" w:footer="1134" w:gutter="0"/>
          <w:cols w:space="425" w:num="1"/>
          <w:docGrid w:type="lines" w:linePitch="312" w:charSpace="0"/>
        </w:sectPr>
      </w:pPr>
    </w:p>
    <w:p w14:paraId="2ACB81ED">
      <w:pPr>
        <w:spacing w:line="700" w:lineRule="exact"/>
        <w:ind w:firstLine="2249" w:firstLineChars="700"/>
        <w:rPr>
          <w:rFonts w:hint="eastAsia" w:ascii="黑体" w:hAnsi="黑体" w:eastAsia="黑体" w:cs="黑体"/>
          <w:b/>
          <w:bCs/>
          <w:sz w:val="32"/>
          <w:szCs w:val="32"/>
        </w:rPr>
      </w:pPr>
      <w:r>
        <w:rPr>
          <w:rFonts w:hint="eastAsia" w:ascii="黑体" w:hAnsi="黑体" w:eastAsia="黑体" w:cs="黑体"/>
          <w:b/>
          <w:bCs/>
          <w:sz w:val="32"/>
          <w:szCs w:val="32"/>
        </w:rPr>
        <w:t>住宅小区业主委员会建设工作指引</w:t>
      </w:r>
    </w:p>
    <w:p w14:paraId="5C442AE7">
      <w:pPr>
        <w:pStyle w:val="26"/>
        <w:spacing w:before="312" w:after="312"/>
        <w:outlineLvl w:val="0"/>
        <w:rPr>
          <w:b/>
          <w:bCs/>
          <w:color w:val="000000" w:themeColor="text1"/>
          <w14:textFill>
            <w14:solidFill>
              <w14:schemeClr w14:val="tx1"/>
            </w14:solidFill>
          </w14:textFill>
        </w:rPr>
      </w:pPr>
      <w:bookmarkStart w:id="10" w:name="_Toc11667"/>
      <w:r>
        <w:rPr>
          <w:rFonts w:hint="eastAsia"/>
          <w:b/>
          <w:bCs/>
        </w:rPr>
        <w:t>目</w:t>
      </w:r>
      <w:r>
        <w:rPr>
          <w:rFonts w:hint="eastAsia"/>
          <w:b/>
          <w:bCs/>
          <w:color w:val="000000" w:themeColor="text1"/>
          <w14:textFill>
            <w14:solidFill>
              <w14:schemeClr w14:val="tx1"/>
            </w14:solidFill>
          </w14:textFill>
        </w:rPr>
        <w:t>的</w:t>
      </w:r>
      <w:bookmarkEnd w:id="10"/>
    </w:p>
    <w:p w14:paraId="3E2EB689">
      <w:pPr>
        <w:spacing w:before="156" w:beforeLines="50" w:after="156" w:afterLines="50"/>
        <w:ind w:firstLine="420" w:firstLineChars="200"/>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为推动小区业主委员会在物业服务人选聘、公共收益管理、维修资金动用等小区重大事项决策方面规范履职，依法监督物业服务人履行物业服务合同，化解业主与业主，业主与物业服务人的矛盾，保障业主与物业服务人双方的合法权益，为业主创建和谐安宁的居住环境。</w:t>
      </w:r>
    </w:p>
    <w:p w14:paraId="211D7EB6">
      <w:pPr>
        <w:pStyle w:val="26"/>
        <w:spacing w:before="312" w:after="312"/>
        <w:outlineLvl w:val="0"/>
        <w:rPr>
          <w:b/>
          <w:bCs/>
        </w:rPr>
      </w:pPr>
      <w:bookmarkStart w:id="11" w:name="_Toc29862"/>
      <w:bookmarkStart w:id="12" w:name="_Toc370"/>
      <w:bookmarkStart w:id="13" w:name="_Toc132192645"/>
      <w:bookmarkStart w:id="14" w:name="_Toc21853"/>
      <w:bookmarkStart w:id="15" w:name="_Toc20557"/>
      <w:bookmarkStart w:id="16" w:name="_Toc10311"/>
      <w:bookmarkStart w:id="17" w:name="_Toc32525"/>
      <w:bookmarkStart w:id="18" w:name="_Toc30424"/>
      <w:bookmarkStart w:id="19" w:name="_Toc3536"/>
      <w:bookmarkStart w:id="20" w:name="_Toc6512"/>
      <w:r>
        <w:rPr>
          <w:rFonts w:hint="eastAsia"/>
          <w:b/>
          <w:bCs/>
        </w:rPr>
        <w:t>范围</w:t>
      </w:r>
      <w:bookmarkEnd w:id="11"/>
    </w:p>
    <w:p w14:paraId="0392D6E6">
      <w:pPr>
        <w:spacing w:before="156" w:beforeLines="50" w:after="156" w:afterLines="50"/>
        <w:ind w:firstLine="420" w:firstLineChars="200"/>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本指引明确</w:t>
      </w:r>
      <w:r>
        <w:rPr>
          <w:rFonts w:ascii="宋体" w:hAnsi="宋体" w:eastAsia="宋体"/>
          <w:color w:val="000000" w:themeColor="text1"/>
          <w14:textFill>
            <w14:solidFill>
              <w14:schemeClr w14:val="tx1"/>
            </w14:solidFill>
          </w14:textFill>
        </w:rPr>
        <w:t>了</w:t>
      </w:r>
      <w:r>
        <w:rPr>
          <w:rFonts w:hint="eastAsia" w:ascii="宋体" w:hAnsi="宋体" w:eastAsia="宋体"/>
          <w:color w:val="000000" w:themeColor="text1"/>
          <w14:textFill>
            <w14:solidFill>
              <w14:schemeClr w14:val="tx1"/>
            </w14:solidFill>
          </w14:textFill>
        </w:rPr>
        <w:t>业主委员会的日常工作原则和工作要求，包括组织建设、内部管理、监督考核、协调管理、业主委员会重大事项工作等内容</w:t>
      </w:r>
      <w:r>
        <w:rPr>
          <w:rFonts w:ascii="宋体" w:hAnsi="宋体" w:eastAsia="宋体"/>
          <w:color w:val="000000" w:themeColor="text1"/>
          <w14:textFill>
            <w14:solidFill>
              <w14:schemeClr w14:val="tx1"/>
            </w14:solidFill>
          </w14:textFill>
        </w:rPr>
        <w:t>。</w:t>
      </w:r>
    </w:p>
    <w:p w14:paraId="334AF3AC">
      <w:pPr>
        <w:spacing w:before="156" w:beforeLines="50" w:after="156" w:afterLines="50"/>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eastAsia="zh-CN"/>
          <w14:textFill>
            <w14:solidFill>
              <w14:schemeClr w14:val="tx1"/>
            </w14:solidFill>
          </w14:textFill>
        </w:rPr>
        <w:t>指引</w:t>
      </w:r>
      <w:r>
        <w:rPr>
          <w:rFonts w:hint="eastAsia" w:ascii="宋体" w:hAnsi="宋体" w:eastAsia="宋体" w:cs="宋体"/>
          <w:color w:val="000000" w:themeColor="text1"/>
          <w14:textFill>
            <w14:solidFill>
              <w14:schemeClr w14:val="tx1"/>
            </w14:solidFill>
          </w14:textFill>
        </w:rPr>
        <w:t>也适用于湖南省物业管理行业协会对小区业主委员会履职工作认定评价。</w:t>
      </w:r>
    </w:p>
    <w:p w14:paraId="5D72D736">
      <w:pPr>
        <w:pStyle w:val="26"/>
        <w:numPr>
          <w:ilvl w:val="0"/>
          <w:numId w:val="0"/>
        </w:numPr>
        <w:spacing w:before="312" w:after="312"/>
        <w:outlineLvl w:val="0"/>
        <w:rPr>
          <w:color w:val="000000" w:themeColor="text1"/>
          <w14:textFill>
            <w14:solidFill>
              <w14:schemeClr w14:val="tx1"/>
            </w14:solidFill>
          </w14:textFill>
        </w:rPr>
      </w:pPr>
      <w:bookmarkStart w:id="21" w:name="_Toc16503"/>
      <w:bookmarkStart w:id="22" w:name="_Toc11193"/>
      <w:r>
        <w:rPr>
          <w:rFonts w:hint="eastAsia"/>
          <w:color w:val="000000" w:themeColor="text1"/>
          <w14:textFill>
            <w14:solidFill>
              <w14:schemeClr w14:val="tx1"/>
            </w14:solidFill>
          </w14:textFill>
        </w:rPr>
        <w:t>3  规范性引用文件</w:t>
      </w:r>
      <w:bookmarkEnd w:id="21"/>
      <w:bookmarkEnd w:id="22"/>
    </w:p>
    <w:p w14:paraId="19B728A2">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下列文件对于本文件的应用是必不可少的。凡是</w:t>
      </w:r>
      <w:r>
        <w:rPr>
          <w:rFonts w:hint="eastAsia" w:ascii="宋体" w:hAnsi="宋体" w:eastAsia="宋体" w:cs="宋体"/>
          <w:color w:val="000000" w:themeColor="text1"/>
          <w:szCs w:val="21"/>
          <w:lang w:eastAsia="zh-CN"/>
          <w14:textFill>
            <w14:solidFill>
              <w14:schemeClr w14:val="tx1"/>
            </w14:solidFill>
          </w14:textFill>
        </w:rPr>
        <w:t>标</w:t>
      </w:r>
      <w:r>
        <w:rPr>
          <w:rFonts w:hint="eastAsia" w:ascii="宋体" w:hAnsi="宋体" w:eastAsia="宋体" w:cs="宋体"/>
          <w:color w:val="000000" w:themeColor="text1"/>
          <w:szCs w:val="21"/>
          <w14:textFill>
            <w14:solidFill>
              <w14:schemeClr w14:val="tx1"/>
            </w14:solidFill>
          </w14:textFill>
        </w:rPr>
        <w:t>注日期的引用文件，仅所注日期的版本适用于本文件。凡是不注日期的引用文件，其最新版本（包括所有的修改单）适用于本文件。</w:t>
      </w:r>
    </w:p>
    <w:p w14:paraId="229E858D">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《中华人民共和国民法典》</w:t>
      </w:r>
    </w:p>
    <w:p w14:paraId="36763CA1">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国务院《物业管理条例》</w:t>
      </w:r>
      <w:r>
        <w:rPr>
          <w:rFonts w:ascii="Arial" w:hAnsi="Arial" w:eastAsia="宋体" w:cs="Arial"/>
          <w:b w:val="0"/>
          <w:bCs w:val="0"/>
          <w:color w:val="000000"/>
          <w:szCs w:val="21"/>
          <w:shd w:val="clear" w:color="auto" w:fill="FFFFFF"/>
        </w:rPr>
        <w:t>国务院令第379号</w:t>
      </w:r>
    </w:p>
    <w:p w14:paraId="7100AE1F">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湖南省人大《湖南省物业管理条例》[2022]第91号</w:t>
      </w:r>
    </w:p>
    <w:p w14:paraId="4224DFF6">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住建部《业主大会和业主委员会指导规则》[2009]第274号</w:t>
      </w:r>
    </w:p>
    <w:p w14:paraId="1BB0AE38">
      <w:pPr>
        <w:ind w:firstLine="420" w:firstLineChars="200"/>
        <w:rPr>
          <w:rFonts w:hint="eastAsia" w:ascii="宋体" w:hAnsi="宋体" w:eastAsia="宋体" w:cs="宋体"/>
          <w:color w:val="000000" w:themeColor="text1"/>
          <w:szCs w:val="21"/>
          <w14:textFill>
            <w14:solidFill>
              <w14:schemeClr w14:val="tx1"/>
            </w14:solidFill>
          </w14:textFill>
        </w:rPr>
      </w:pPr>
      <w:bookmarkStart w:id="23" w:name="_Hlk191995893"/>
      <w:r>
        <w:rPr>
          <w:rFonts w:hint="eastAsia" w:ascii="宋体" w:hAnsi="宋体" w:eastAsia="宋体" w:cs="宋体"/>
          <w:color w:val="000000" w:themeColor="text1"/>
          <w:szCs w:val="21"/>
          <w14:textFill>
            <w14:solidFill>
              <w14:schemeClr w14:val="tx1"/>
            </w14:solidFill>
          </w14:textFill>
        </w:rPr>
        <w:t>住建部、财政部《住宅专项维修资金管理办法》[2007]第165号</w:t>
      </w:r>
    </w:p>
    <w:bookmarkEnd w:id="12"/>
    <w:bookmarkEnd w:id="13"/>
    <w:bookmarkEnd w:id="14"/>
    <w:bookmarkEnd w:id="15"/>
    <w:bookmarkEnd w:id="16"/>
    <w:bookmarkEnd w:id="17"/>
    <w:bookmarkEnd w:id="18"/>
    <w:bookmarkEnd w:id="19"/>
    <w:bookmarkEnd w:id="20"/>
    <w:bookmarkEnd w:id="23"/>
    <w:p w14:paraId="6418699E">
      <w:pPr>
        <w:pStyle w:val="26"/>
        <w:numPr>
          <w:ilvl w:val="0"/>
          <w:numId w:val="0"/>
        </w:numPr>
        <w:spacing w:before="312" w:after="312"/>
        <w:outlineLvl w:val="0"/>
        <w:rPr>
          <w:b/>
          <w:bCs/>
          <w:color w:val="000000" w:themeColor="text1"/>
          <w14:textFill>
            <w14:solidFill>
              <w14:schemeClr w14:val="tx1"/>
            </w14:solidFill>
          </w14:textFill>
        </w:rPr>
      </w:pPr>
      <w:bookmarkStart w:id="24" w:name="_Toc132192646"/>
      <w:bookmarkStart w:id="25" w:name="_Toc15596"/>
      <w:bookmarkStart w:id="26" w:name="_Toc17276"/>
      <w:bookmarkStart w:id="27" w:name="_Toc28194"/>
      <w:bookmarkStart w:id="28" w:name="_Toc6344"/>
      <w:bookmarkStart w:id="29" w:name="_Toc13122"/>
      <w:bookmarkStart w:id="30" w:name="_Toc23235"/>
      <w:bookmarkStart w:id="31" w:name="_Toc10913"/>
      <w:bookmarkStart w:id="32" w:name="_Toc21556"/>
      <w:bookmarkStart w:id="33" w:name="_Toc16583"/>
      <w:r>
        <w:rPr>
          <w:rFonts w:hint="eastAsia"/>
          <w:b/>
          <w:bCs/>
          <w:color w:val="000000" w:themeColor="text1"/>
          <w14:textFill>
            <w14:solidFill>
              <w14:schemeClr w14:val="tx1"/>
            </w14:solidFill>
          </w14:textFill>
        </w:rPr>
        <w:t>4  术语和</w:t>
      </w:r>
      <w:bookmarkEnd w:id="24"/>
      <w:bookmarkEnd w:id="25"/>
      <w:bookmarkEnd w:id="26"/>
      <w:bookmarkEnd w:id="27"/>
      <w:bookmarkEnd w:id="28"/>
      <w:bookmarkEnd w:id="29"/>
      <w:bookmarkEnd w:id="30"/>
      <w:bookmarkEnd w:id="31"/>
      <w:bookmarkEnd w:id="32"/>
      <w:r>
        <w:rPr>
          <w:rFonts w:hint="eastAsia"/>
          <w:b/>
          <w:bCs/>
          <w:color w:val="000000" w:themeColor="text1"/>
          <w14:textFill>
            <w14:solidFill>
              <w14:schemeClr w14:val="tx1"/>
            </w14:solidFill>
          </w14:textFill>
        </w:rPr>
        <w:t>定义</w:t>
      </w:r>
      <w:bookmarkEnd w:id="33"/>
    </w:p>
    <w:p w14:paraId="1798B2FC">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下列术语和定义适用于本文件</w:t>
      </w:r>
    </w:p>
    <w:p w14:paraId="5817263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Cs w:val="21"/>
          <w14:textFill>
            <w14:solidFill>
              <w14:schemeClr w14:val="tx1"/>
            </w14:solidFill>
          </w14:textFill>
        </w:rPr>
        <w:t>业主:房屋的所有权人为业主，也就是房屋产权证明上登记的所有权人。</w:t>
      </w:r>
    </w:p>
    <w:p w14:paraId="0B210BEE">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业主大会：业主大会由物业管理区域内的全体业主组成，代表和维护物业管理区域内全体业主在物业管理活动中的合法权利，</w:t>
      </w:r>
      <w:r>
        <w:rPr>
          <w:rFonts w:hint="eastAsia" w:ascii="宋体" w:hAnsi="宋体" w:eastAsia="宋体" w:cs="宋体"/>
          <w:color w:val="000000" w:themeColor="text1"/>
          <w:szCs w:val="21"/>
          <w:lang w:eastAsia="zh-CN"/>
          <w14:textFill>
            <w14:solidFill>
              <w14:schemeClr w14:val="tx1"/>
            </w14:solidFill>
          </w14:textFill>
        </w:rPr>
        <w:t>并</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履行相应的义务。</w:t>
      </w:r>
    </w:p>
    <w:p w14:paraId="03F12EB6">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3.3业主委员会：业主委员会由业主大会依法选举产生，履行业主大会赋予的职责，执行业主大会决定的事项，接受业主的监督。</w:t>
      </w:r>
    </w:p>
    <w:p w14:paraId="62A9F81A">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w:t>
      </w:r>
      <w:bookmarkStart w:id="34" w:name="_Hlk191997204"/>
      <w:r>
        <w:rPr>
          <w:rFonts w:hint="eastAsia" w:ascii="宋体" w:hAnsi="宋体" w:eastAsia="宋体" w:cs="宋体"/>
          <w:color w:val="000000" w:themeColor="text1"/>
          <w:szCs w:val="21"/>
          <w14:textFill>
            <w14:solidFill>
              <w14:schemeClr w14:val="tx1"/>
            </w14:solidFill>
          </w14:textFill>
        </w:rPr>
        <w:t>物业服务人</w:t>
      </w:r>
      <w:bookmarkEnd w:id="34"/>
      <w:r>
        <w:rPr>
          <w:rFonts w:hint="eastAsia" w:ascii="宋体" w:hAnsi="宋体" w:eastAsia="宋体" w:cs="宋体"/>
          <w:color w:val="000000" w:themeColor="text1"/>
          <w:szCs w:val="21"/>
          <w14:textFill>
            <w14:solidFill>
              <w14:schemeClr w14:val="tx1"/>
            </w14:solidFill>
          </w14:textFill>
        </w:rPr>
        <w:t>：是指物业服务企业和其他管理人。</w:t>
      </w:r>
    </w:p>
    <w:p w14:paraId="6B405897">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3.5公共收益：是指建设单位、物业服务企业或其他管理人等利用物业共用部位、共用设施设备进行经营的所产生的收入。</w:t>
      </w:r>
    </w:p>
    <w:p w14:paraId="68DF85B8">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3.6物业专项维修资金：是指专项用于物业共用部位、共用设施设备保修期满后的维修和更新、改造的资金。</w:t>
      </w:r>
    </w:p>
    <w:p w14:paraId="1437CA17">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3.7前期物业服务合同：是指在业主、业主大会选聘物业服务人之前，由建设单位依法与物业服务人订立的物业服务合同。</w:t>
      </w:r>
    </w:p>
    <w:p w14:paraId="72D14C10">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3.8物业服务合同：是指物业服务人在物业服务区域内</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为业主提供建筑物及其附属设施的维修养护、环境卫生和相关秩序的管理维护等物业服务,业主支付物业费的合同。</w:t>
      </w:r>
    </w:p>
    <w:p w14:paraId="625FF520">
      <w:pPr>
        <w:ind w:firstLine="420" w:firstLineChars="200"/>
        <w:rPr>
          <w:rFonts w:hint="eastAsia" w:ascii="宋体" w:hAnsi="宋体" w:eastAsia="宋体" w:cs="宋体"/>
          <w:color w:val="000000" w:themeColor="text1"/>
          <w:szCs w:val="21"/>
          <w14:textFill>
            <w14:solidFill>
              <w14:schemeClr w14:val="tx1"/>
            </w14:solidFill>
          </w14:textFill>
        </w:rPr>
      </w:pPr>
      <w:bookmarkStart w:id="35" w:name="_Hlk132127776"/>
      <w:r>
        <w:rPr>
          <w:rFonts w:hint="eastAsia" w:ascii="宋体" w:hAnsi="宋体" w:eastAsia="宋体" w:cs="宋体"/>
          <w:color w:val="000000" w:themeColor="text1"/>
          <w:szCs w:val="21"/>
          <w14:textFill>
            <w14:solidFill>
              <w14:schemeClr w14:val="tx1"/>
            </w14:solidFill>
          </w14:textFill>
        </w:rPr>
        <w:t>5  总体原则</w:t>
      </w:r>
    </w:p>
    <w:p w14:paraId="164BBB72">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业主委员会的权利来自于业主大会的授权，从事业主大会授权范围内的事务，不得从事与物业管理活动无关的工作。</w:t>
      </w:r>
    </w:p>
    <w:p w14:paraId="7262D0B0">
      <w:pPr>
        <w:spacing w:before="156" w:beforeLines="50" w:after="156" w:afterLines="50"/>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5.2 </w:t>
      </w:r>
      <w:r>
        <w:rPr>
          <w:rFonts w:hint="eastAsia" w:ascii="宋体" w:hAnsi="宋体" w:eastAsia="宋体" w:cs="宋体"/>
          <w:color w:val="000000" w:themeColor="text1"/>
          <w:lang w:eastAsia="zh-CN"/>
          <w14:textFill>
            <w14:solidFill>
              <w14:schemeClr w14:val="tx1"/>
            </w14:solidFill>
          </w14:textFill>
        </w:rPr>
        <w:t>业主委员会</w:t>
      </w:r>
      <w:r>
        <w:rPr>
          <w:rFonts w:hint="eastAsia" w:ascii="宋体" w:hAnsi="宋体" w:eastAsia="宋体" w:cs="宋体"/>
          <w:color w:val="000000" w:themeColor="text1"/>
          <w14:textFill>
            <w14:solidFill>
              <w14:schemeClr w14:val="tx1"/>
            </w14:solidFill>
          </w14:textFill>
        </w:rPr>
        <w:t>按照法律法规、政府规范性文件规定和小区管理规约、业主大会议事规则的要求开展工作。</w:t>
      </w:r>
    </w:p>
    <w:p w14:paraId="53ECECB1">
      <w:pPr>
        <w:spacing w:before="156" w:beforeLines="50" w:after="156" w:afterLines="50"/>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 以党建引领为核心，坚持业主自治与专业管理相结合，通过协调、沟通、引导等方式推动小区的和谐稳定。</w:t>
      </w:r>
    </w:p>
    <w:p w14:paraId="43412CC6">
      <w:pPr>
        <w:pStyle w:val="26"/>
        <w:numPr>
          <w:ilvl w:val="0"/>
          <w:numId w:val="0"/>
        </w:numPr>
        <w:spacing w:before="312" w:after="312"/>
        <w:outlineLvl w:val="0"/>
        <w:rPr>
          <w:b/>
          <w:bCs/>
          <w:color w:val="000000" w:themeColor="text1"/>
          <w14:textFill>
            <w14:solidFill>
              <w14:schemeClr w14:val="tx1"/>
            </w14:solidFill>
          </w14:textFill>
        </w:rPr>
      </w:pPr>
      <w:bookmarkStart w:id="36" w:name="_Toc30012"/>
      <w:r>
        <w:rPr>
          <w:rFonts w:hint="eastAsia"/>
          <w:b/>
          <w:bCs/>
          <w:color w:val="000000" w:themeColor="text1"/>
          <w14:textFill>
            <w14:solidFill>
              <w14:schemeClr w14:val="tx1"/>
            </w14:solidFill>
          </w14:textFill>
        </w:rPr>
        <w:t>6  工作要求</w:t>
      </w:r>
      <w:bookmarkEnd w:id="36"/>
    </w:p>
    <w:p w14:paraId="365F860A">
      <w:pPr>
        <w:spacing w:before="156" w:beforeLines="50" w:after="156" w:afterLines="50"/>
        <w:rPr>
          <w:rFonts w:hint="eastAsia" w:ascii="黑体" w:hAnsi="黑体" w:eastAsia="黑体" w:cs="黑体"/>
          <w:b/>
          <w:bCs/>
          <w:szCs w:val="21"/>
        </w:rPr>
      </w:pPr>
      <w:r>
        <w:rPr>
          <w:rFonts w:hint="eastAsia" w:ascii="黑体" w:hAnsi="黑体" w:eastAsia="黑体" w:cs="黑体"/>
          <w:b/>
          <w:bCs/>
          <w:szCs w:val="21"/>
        </w:rPr>
        <w:t>6.1  组织建设</w:t>
      </w:r>
    </w:p>
    <w:p w14:paraId="09A60CDF">
      <w:pPr>
        <w:spacing w:before="156" w:beforeLines="50" w:after="156" w:afterLines="50"/>
        <w:rPr>
          <w:rFonts w:ascii="宋体" w:hAnsi="Times New Roman" w:eastAsia="宋体" w:cs="Times New Roman"/>
        </w:rPr>
      </w:pPr>
      <w:r>
        <w:rPr>
          <w:rFonts w:hint="eastAsia" w:ascii="宋体" w:hAnsi="Times New Roman" w:eastAsia="宋体" w:cs="Times New Roman"/>
        </w:rPr>
        <w:t>6.1.1 业主委员会组织架构健全。业主委员会成员</w:t>
      </w:r>
      <w:r>
        <w:rPr>
          <w:rFonts w:hint="eastAsia" w:ascii="宋体" w:hAnsi="Times New Roman" w:eastAsia="宋体" w:cs="Times New Roman"/>
          <w:lang w:eastAsia="zh-CN"/>
        </w:rPr>
        <w:t>正常</w:t>
      </w:r>
      <w:r>
        <w:rPr>
          <w:rFonts w:hint="eastAsia" w:ascii="宋体" w:hAnsi="Times New Roman" w:eastAsia="宋体" w:cs="Times New Roman"/>
        </w:rPr>
        <w:t>履职，没有缺岗或长期不参加会议的情形。</w:t>
      </w:r>
    </w:p>
    <w:p w14:paraId="42487551">
      <w:pPr>
        <w:spacing w:before="156" w:beforeLines="50" w:after="156" w:afterLines="50"/>
        <w:rPr>
          <w:rFonts w:ascii="宋体" w:hAnsi="Times New Roman" w:eastAsia="宋体" w:cs="Times New Roman"/>
        </w:rPr>
      </w:pPr>
      <w:r>
        <w:rPr>
          <w:rFonts w:hint="eastAsia" w:ascii="宋体" w:hAnsi="Times New Roman" w:eastAsia="宋体" w:cs="Times New Roman"/>
        </w:rPr>
        <w:t>6.1.2 分工与职责。业主委员会成员分工明确，职责清晰。</w:t>
      </w:r>
    </w:p>
    <w:p w14:paraId="70C98801">
      <w:pPr>
        <w:spacing w:before="156" w:beforeLines="50" w:after="156" w:afterLines="50"/>
        <w:rPr>
          <w:rFonts w:ascii="宋体" w:hAnsi="Times New Roman" w:eastAsia="宋体" w:cs="Times New Roman"/>
        </w:rPr>
      </w:pPr>
      <w:r>
        <w:rPr>
          <w:rFonts w:hint="eastAsia" w:ascii="宋体" w:hAnsi="Times New Roman" w:eastAsia="宋体" w:cs="Times New Roman"/>
        </w:rPr>
        <w:t>6.1.3 业主委员会制度建设完善，包括但不限于工作档案管理制度、财务管理制度、定期接待制度、信息公开制度、印章管理制度、专职工作人员制度、突发事故应急处理制度。</w:t>
      </w:r>
    </w:p>
    <w:p w14:paraId="7E73778F">
      <w:pPr>
        <w:spacing w:before="156" w:beforeLines="50" w:after="156" w:afterLines="50"/>
        <w:rPr>
          <w:rFonts w:ascii="宋体" w:hAnsi="Times New Roman" w:eastAsia="宋体" w:cs="Times New Roman"/>
        </w:rPr>
      </w:pPr>
      <w:r>
        <w:rPr>
          <w:rFonts w:hint="eastAsia" w:ascii="宋体" w:hAnsi="Times New Roman" w:eastAsia="宋体" w:cs="Times New Roman"/>
        </w:rPr>
        <w:t>6.1.4 信息公开。业主大会议事规则、管理规约、物业服务合同</w:t>
      </w:r>
      <w:r>
        <w:rPr>
          <w:rFonts w:hint="eastAsia" w:ascii="宋体" w:hAnsi="Times New Roman" w:eastAsia="宋体" w:cs="Times New Roman"/>
          <w:lang w:eastAsia="zh-CN"/>
        </w:rPr>
        <w:t>按规定要求进行</w:t>
      </w:r>
      <w:r>
        <w:rPr>
          <w:rFonts w:hint="eastAsia" w:ascii="宋体" w:hAnsi="Times New Roman" w:eastAsia="宋体" w:cs="Times New Roman"/>
        </w:rPr>
        <w:t>公示。</w:t>
      </w:r>
    </w:p>
    <w:p w14:paraId="2EBEAA0D">
      <w:pPr>
        <w:spacing w:before="156" w:beforeLines="50" w:after="156" w:afterLines="50"/>
        <w:rPr>
          <w:rFonts w:ascii="宋体" w:hAnsi="Times New Roman" w:eastAsia="宋体" w:cs="Times New Roman"/>
        </w:rPr>
      </w:pPr>
      <w:r>
        <w:rPr>
          <w:rFonts w:hint="eastAsia" w:ascii="宋体" w:hAnsi="Times New Roman" w:eastAsia="宋体" w:cs="Times New Roman"/>
        </w:rPr>
        <w:t>6.1.5 业主委员会民主管理工作。每年不少于1次组织业主座谈会或恳谈会；每月设立业主接待日，有固定的值班人员。</w:t>
      </w:r>
    </w:p>
    <w:p w14:paraId="638E8D5C">
      <w:pPr>
        <w:spacing w:before="156" w:beforeLines="50" w:after="156" w:afterLines="50"/>
        <w:rPr>
          <w:rFonts w:ascii="宋体" w:hAnsi="Times New Roman" w:eastAsia="宋体" w:cs="Times New Roman"/>
        </w:rPr>
      </w:pPr>
      <w:r>
        <w:rPr>
          <w:rFonts w:hint="eastAsia" w:ascii="宋体" w:hAnsi="Times New Roman" w:eastAsia="宋体" w:cs="Times New Roman"/>
        </w:rPr>
        <w:t>6.1.6 业主委员会</w:t>
      </w:r>
      <w:r>
        <w:rPr>
          <w:rFonts w:hint="eastAsia" w:ascii="宋体" w:hAnsi="Times New Roman" w:eastAsia="宋体" w:cs="Times New Roman"/>
          <w:lang w:eastAsia="zh-CN"/>
        </w:rPr>
        <w:t>积极</w:t>
      </w:r>
      <w:r>
        <w:rPr>
          <w:rFonts w:hint="eastAsia" w:ascii="宋体" w:hAnsi="Times New Roman" w:eastAsia="宋体" w:cs="Times New Roman"/>
        </w:rPr>
        <w:t>组织小区楼栋长</w:t>
      </w:r>
      <w:r>
        <w:rPr>
          <w:rFonts w:hint="eastAsia" w:ascii="宋体" w:hAnsi="Times New Roman" w:eastAsia="宋体" w:cs="Times New Roman"/>
          <w:lang w:eastAsia="zh-CN"/>
        </w:rPr>
        <w:t>、</w:t>
      </w:r>
      <w:r>
        <w:rPr>
          <w:rFonts w:hint="eastAsia" w:ascii="宋体" w:hAnsi="Times New Roman" w:eastAsia="宋体" w:cs="Times New Roman"/>
        </w:rPr>
        <w:t>片区长、志愿者团队</w:t>
      </w:r>
      <w:r>
        <w:rPr>
          <w:rFonts w:hint="eastAsia" w:ascii="宋体" w:hAnsi="Times New Roman" w:eastAsia="宋体" w:cs="Times New Roman"/>
          <w:lang w:eastAsia="zh-CN"/>
        </w:rPr>
        <w:t>开展小区服务</w:t>
      </w:r>
      <w:r>
        <w:rPr>
          <w:rFonts w:hint="eastAsia" w:ascii="宋体" w:hAnsi="Times New Roman" w:eastAsia="宋体" w:cs="Times New Roman"/>
        </w:rPr>
        <w:t>工作。</w:t>
      </w:r>
    </w:p>
    <w:p w14:paraId="6ED1FE0D">
      <w:pPr>
        <w:spacing w:before="156" w:beforeLines="50" w:after="156" w:afterLines="50"/>
        <w:rPr>
          <w:rFonts w:hint="eastAsia" w:ascii="黑体" w:hAnsi="黑体" w:eastAsia="黑体" w:cs="黑体"/>
          <w:b/>
          <w:bCs/>
          <w:szCs w:val="21"/>
        </w:rPr>
      </w:pPr>
      <w:r>
        <w:rPr>
          <w:rFonts w:hint="eastAsia" w:ascii="黑体" w:hAnsi="黑体" w:eastAsia="黑体" w:cs="黑体"/>
          <w:b/>
          <w:bCs/>
          <w:szCs w:val="21"/>
        </w:rPr>
        <w:t>6.2  内部管理</w:t>
      </w:r>
    </w:p>
    <w:p w14:paraId="090C2DB0">
      <w:pPr>
        <w:spacing w:before="156" w:beforeLines="50" w:after="156" w:afterLines="50"/>
        <w:rPr>
          <w:rFonts w:ascii="宋体" w:hAnsi="Times New Roman" w:eastAsia="宋体" w:cs="Times New Roman"/>
        </w:rPr>
      </w:pPr>
      <w:r>
        <w:rPr>
          <w:rFonts w:hint="eastAsia" w:ascii="宋体" w:hAnsi="Times New Roman" w:eastAsia="宋体" w:cs="Times New Roman"/>
        </w:rPr>
        <w:t>6.2.1 业主委员会有工作计划及实施方案。业主委员会按月度召开工作会议，有会议决议记录，并公示。</w:t>
      </w:r>
    </w:p>
    <w:p w14:paraId="3341813F">
      <w:pPr>
        <w:spacing w:before="156" w:beforeLines="50" w:after="156" w:afterLines="50"/>
        <w:rPr>
          <w:rFonts w:ascii="宋体" w:hAnsi="Times New Roman" w:eastAsia="宋体" w:cs="Times New Roman"/>
        </w:rPr>
      </w:pPr>
      <w:r>
        <w:rPr>
          <w:rFonts w:hint="eastAsia" w:ascii="宋体" w:hAnsi="Times New Roman" w:eastAsia="宋体" w:cs="Times New Roman"/>
        </w:rPr>
        <w:t>6.2.2 业主委员会年度工作报告。业主委员会按年度组织召开业主大会会议做工作总结报告（含下一年度工作计划），并公示。鼓励业主委员会任期做好3-5年小区大中修更新改造计划，并公示。</w:t>
      </w:r>
    </w:p>
    <w:p w14:paraId="73080C39">
      <w:pPr>
        <w:spacing w:before="156" w:beforeLines="50" w:after="156" w:afterLines="50"/>
        <w:rPr>
          <w:rFonts w:ascii="宋体" w:hAnsi="Times New Roman" w:eastAsia="宋体" w:cs="Times New Roman"/>
        </w:rPr>
      </w:pPr>
      <w:r>
        <w:rPr>
          <w:rFonts w:hint="eastAsia" w:ascii="宋体" w:hAnsi="Times New Roman" w:eastAsia="宋体" w:cs="Times New Roman"/>
        </w:rPr>
        <w:t>6.2.3 财务审批及公开。业主委员会开设业主共有资金账户；财务收支规范、有报账审批流程；公共经营收支有公示(1年不低于2次)；物业专项维修资金使用情况每年不少于一次公示通报。业主委员会每年对经费收支情况进行专业审计，并公示。</w:t>
      </w:r>
    </w:p>
    <w:p w14:paraId="16C9EBB5">
      <w:pPr>
        <w:spacing w:before="156" w:beforeLines="50" w:after="156" w:afterLines="50"/>
        <w:rPr>
          <w:rFonts w:ascii="宋体" w:hAnsi="Times New Roman" w:eastAsia="宋体" w:cs="Times New Roman"/>
        </w:rPr>
      </w:pPr>
      <w:r>
        <w:rPr>
          <w:rFonts w:hint="eastAsia" w:ascii="宋体" w:hAnsi="Times New Roman" w:eastAsia="宋体" w:cs="Times New Roman"/>
        </w:rPr>
        <w:t>6.2.4 信息通报及宣传。每年有不少于6次以上信息通报；有固定区域宣传栏或公示栏，每季度更新一次；有小区公众号，每年更新不少于6次。</w:t>
      </w:r>
    </w:p>
    <w:p w14:paraId="5B64421D">
      <w:pPr>
        <w:spacing w:before="156" w:beforeLines="50" w:after="156" w:afterLines="50"/>
        <w:rPr>
          <w:rFonts w:ascii="宋体" w:hAnsi="Times New Roman" w:eastAsia="宋体" w:cs="Times New Roman"/>
        </w:rPr>
      </w:pPr>
      <w:r>
        <w:rPr>
          <w:rFonts w:hint="eastAsia" w:ascii="宋体" w:hAnsi="Times New Roman" w:eastAsia="宋体" w:cs="Times New Roman"/>
        </w:rPr>
        <w:t>6.2.5 档案管理：包括但不限于小区业主清册、小区规划图及相关图纸资料，业主大会议事规则、管理规约、物业服务合同、年度工作计划工作报告、往来函件、通知通告、会议纪要、工程项目审批与实施资料，财务档案资料，业主大会会议资料，其他经营合同等资料存档。</w:t>
      </w:r>
    </w:p>
    <w:p w14:paraId="304937B1">
      <w:pPr>
        <w:spacing w:before="156" w:beforeLines="50" w:after="156" w:afterLines="50"/>
        <w:rPr>
          <w:rFonts w:hint="eastAsia" w:ascii="黑体" w:hAnsi="黑体" w:eastAsia="黑体" w:cs="黑体"/>
          <w:b/>
          <w:bCs/>
          <w:szCs w:val="21"/>
        </w:rPr>
      </w:pPr>
      <w:r>
        <w:rPr>
          <w:rFonts w:hint="eastAsia" w:ascii="黑体" w:hAnsi="黑体" w:eastAsia="黑体" w:cs="黑体"/>
          <w:b/>
          <w:bCs/>
          <w:szCs w:val="21"/>
        </w:rPr>
        <w:t>6.3  监督考核</w:t>
      </w:r>
    </w:p>
    <w:p w14:paraId="03EA3D06">
      <w:pPr>
        <w:spacing w:before="156" w:beforeLines="50" w:after="156" w:afterLines="50"/>
        <w:rPr>
          <w:rFonts w:ascii="宋体" w:hAnsi="Times New Roman" w:eastAsia="宋体" w:cs="Times New Roman"/>
        </w:rPr>
      </w:pPr>
      <w:r>
        <w:rPr>
          <w:rFonts w:hint="eastAsia" w:ascii="宋体" w:hAnsi="Times New Roman" w:eastAsia="宋体" w:cs="Times New Roman"/>
        </w:rPr>
        <w:t>6.3.1 物业服务质量考核制度。建立对物业服务人的考核机制：包括考核时间、考核方法、考核标准、奖罚措施等制度。</w:t>
      </w:r>
    </w:p>
    <w:p w14:paraId="4C33B9BD">
      <w:pPr>
        <w:spacing w:before="156" w:beforeLines="50" w:after="156" w:afterLines="50"/>
        <w:rPr>
          <w:rFonts w:ascii="宋体" w:hAnsi="Times New Roman" w:eastAsia="宋体" w:cs="Times New Roman"/>
        </w:rPr>
      </w:pPr>
      <w:r>
        <w:rPr>
          <w:rFonts w:hint="eastAsia" w:ascii="宋体" w:hAnsi="Times New Roman" w:eastAsia="宋体" w:cs="Times New Roman"/>
        </w:rPr>
        <w:t>6.3.2 物业服务质量考核实施。</w:t>
      </w:r>
      <w:r>
        <w:rPr>
          <w:rFonts w:hint="eastAsia" w:ascii="宋体" w:hAnsi="Times New Roman" w:eastAsia="宋体" w:cs="Times New Roman"/>
          <w:lang w:eastAsia="zh-CN"/>
        </w:rPr>
        <w:t>按计划</w:t>
      </w:r>
      <w:r>
        <w:rPr>
          <w:rFonts w:hint="eastAsia" w:ascii="宋体" w:hAnsi="Times New Roman" w:eastAsia="宋体" w:cs="Times New Roman"/>
        </w:rPr>
        <w:t>对物业服务人实施</w:t>
      </w:r>
      <w:r>
        <w:rPr>
          <w:rFonts w:hint="eastAsia" w:ascii="宋体" w:hAnsi="Times New Roman" w:eastAsia="宋体" w:cs="Times New Roman"/>
          <w:lang w:eastAsia="zh-CN"/>
        </w:rPr>
        <w:t>考核及</w:t>
      </w:r>
      <w:r>
        <w:rPr>
          <w:rFonts w:hint="eastAsia" w:ascii="宋体" w:hAnsi="Times New Roman" w:eastAsia="宋体" w:cs="Times New Roman"/>
        </w:rPr>
        <w:t>年度考评，</w:t>
      </w:r>
      <w:r>
        <w:rPr>
          <w:rFonts w:hint="eastAsia" w:ascii="宋体" w:hAnsi="Times New Roman" w:eastAsia="宋体" w:cs="Times New Roman"/>
          <w:lang w:eastAsia="zh-CN"/>
        </w:rPr>
        <w:t>内容包括：</w:t>
      </w:r>
      <w:r>
        <w:rPr>
          <w:rFonts w:hint="eastAsia" w:ascii="宋体" w:hAnsi="Times New Roman" w:eastAsia="宋体" w:cs="Times New Roman"/>
        </w:rPr>
        <w:t>设施设备维护保养、秩序维护、清洁卫生、绿化维护保养</w:t>
      </w:r>
      <w:r>
        <w:rPr>
          <w:rFonts w:hint="eastAsia" w:ascii="宋体" w:hAnsi="Times New Roman" w:eastAsia="宋体" w:cs="Times New Roman"/>
          <w:lang w:eastAsia="zh-CN"/>
        </w:rPr>
        <w:t>、投诉反馈</w:t>
      </w:r>
      <w:r>
        <w:rPr>
          <w:rFonts w:hint="eastAsia" w:ascii="宋体" w:hAnsi="Times New Roman" w:eastAsia="宋体" w:cs="Times New Roman"/>
        </w:rPr>
        <w:t>等。并向全体业主通报</w:t>
      </w:r>
      <w:r>
        <w:rPr>
          <w:rFonts w:hint="eastAsia" w:ascii="宋体" w:hAnsi="Times New Roman" w:eastAsia="宋体" w:cs="Times New Roman"/>
          <w:lang w:eastAsia="zh-CN"/>
        </w:rPr>
        <w:t>考核、</w:t>
      </w:r>
      <w:r>
        <w:rPr>
          <w:rFonts w:hint="eastAsia" w:ascii="宋体" w:hAnsi="Times New Roman" w:eastAsia="宋体" w:cs="Times New Roman"/>
        </w:rPr>
        <w:t>考评结果。</w:t>
      </w:r>
    </w:p>
    <w:p w14:paraId="21CB31CB">
      <w:pPr>
        <w:spacing w:before="156" w:beforeLines="50" w:after="156" w:afterLines="50"/>
        <w:rPr>
          <w:rFonts w:ascii="宋体" w:hAnsi="Times New Roman" w:eastAsia="宋体" w:cs="Times New Roman"/>
        </w:rPr>
      </w:pPr>
      <w:r>
        <w:rPr>
          <w:rFonts w:hint="eastAsia" w:ascii="宋体" w:hAnsi="Times New Roman" w:eastAsia="宋体" w:cs="Times New Roman"/>
        </w:rPr>
        <w:t>6.3.</w:t>
      </w:r>
      <w:r>
        <w:rPr>
          <w:rFonts w:hint="eastAsia" w:ascii="宋体" w:hAnsi="Times New Roman" w:eastAsia="宋体" w:cs="Times New Roman"/>
          <w:lang w:val="en-US" w:eastAsia="zh-CN"/>
        </w:rPr>
        <w:t>3</w:t>
      </w:r>
      <w:r>
        <w:rPr>
          <w:rFonts w:hint="eastAsia" w:ascii="宋体" w:hAnsi="Times New Roman" w:eastAsia="宋体" w:cs="Times New Roman"/>
        </w:rPr>
        <w:t xml:space="preserve"> 物业服务人满意度调查。每年组织业主对物业服务进行满意度调查，调查比列不低于20%，并向全体业主通报满意度调查结果。</w:t>
      </w:r>
    </w:p>
    <w:p w14:paraId="0B4200E8">
      <w:pPr>
        <w:spacing w:before="156" w:beforeLines="50" w:after="156" w:afterLines="50"/>
        <w:rPr>
          <w:rFonts w:ascii="宋体" w:hAnsi="Times New Roman" w:eastAsia="宋体" w:cs="Times New Roman"/>
        </w:rPr>
      </w:pPr>
      <w:r>
        <w:rPr>
          <w:rFonts w:hint="eastAsia" w:ascii="宋体" w:hAnsi="Times New Roman" w:eastAsia="宋体" w:cs="Times New Roman"/>
        </w:rPr>
        <w:t>6.3.</w:t>
      </w:r>
      <w:r>
        <w:rPr>
          <w:rFonts w:hint="eastAsia" w:ascii="宋体" w:hAnsi="Times New Roman" w:eastAsia="宋体" w:cs="Times New Roman"/>
          <w:lang w:val="en-US" w:eastAsia="zh-CN"/>
        </w:rPr>
        <w:t>4</w:t>
      </w:r>
      <w:r>
        <w:rPr>
          <w:rFonts w:hint="eastAsia" w:ascii="宋体" w:hAnsi="Times New Roman" w:eastAsia="宋体" w:cs="Times New Roman"/>
        </w:rPr>
        <w:t xml:space="preserve"> 自行组织或者配合物业服务人开展小区文化活动。</w:t>
      </w:r>
    </w:p>
    <w:p w14:paraId="7E2974AE">
      <w:pPr>
        <w:spacing w:before="156" w:beforeLines="50" w:after="156" w:afterLines="50"/>
        <w:rPr>
          <w:rFonts w:ascii="宋体" w:hAnsi="Times New Roman" w:eastAsia="宋体" w:cs="Times New Roman"/>
        </w:rPr>
      </w:pPr>
      <w:r>
        <w:rPr>
          <w:rFonts w:hint="eastAsia" w:ascii="宋体" w:hAnsi="Times New Roman" w:eastAsia="宋体" w:cs="Times New Roman"/>
        </w:rPr>
        <w:t>6.3.</w:t>
      </w:r>
      <w:r>
        <w:rPr>
          <w:rFonts w:hint="eastAsia" w:ascii="宋体" w:hAnsi="Times New Roman" w:eastAsia="宋体" w:cs="Times New Roman"/>
          <w:lang w:val="en-US" w:eastAsia="zh-CN"/>
        </w:rPr>
        <w:t>5</w:t>
      </w:r>
      <w:r>
        <w:rPr>
          <w:rFonts w:hint="eastAsia" w:ascii="宋体" w:hAnsi="Times New Roman" w:eastAsia="宋体" w:cs="Times New Roman"/>
        </w:rPr>
        <w:t xml:space="preserve"> 协助或者协调物业服务人收缴物业费，收缴率达90%以上或者比上年度同期提升10%以上。</w:t>
      </w:r>
    </w:p>
    <w:p w14:paraId="176E4474">
      <w:pPr>
        <w:spacing w:before="156" w:beforeLines="50" w:after="156" w:afterLines="50"/>
        <w:rPr>
          <w:rFonts w:hint="eastAsia" w:ascii="黑体" w:hAnsi="黑体" w:eastAsia="黑体" w:cs="黑体"/>
          <w:b/>
          <w:bCs/>
          <w:szCs w:val="21"/>
        </w:rPr>
      </w:pPr>
      <w:r>
        <w:rPr>
          <w:rFonts w:hint="eastAsia" w:ascii="黑体" w:hAnsi="黑体" w:eastAsia="黑体" w:cs="黑体"/>
          <w:b/>
          <w:bCs/>
          <w:szCs w:val="21"/>
        </w:rPr>
        <w:t>6.4 协调管理</w:t>
      </w:r>
    </w:p>
    <w:p w14:paraId="7C44D8C0">
      <w:pPr>
        <w:spacing w:before="156" w:beforeLines="50" w:after="156" w:afterLines="50"/>
        <w:rPr>
          <w:rFonts w:hint="eastAsia" w:ascii="宋体" w:hAnsi="Times New Roman" w:eastAsia="宋体" w:cs="Times New Roman"/>
        </w:rPr>
      </w:pPr>
      <w:r>
        <w:rPr>
          <w:rFonts w:hint="eastAsia" w:ascii="宋体" w:hAnsi="Times New Roman" w:eastAsia="宋体" w:cs="Times New Roman"/>
        </w:rPr>
        <w:t>6.4.1 对街道社区工作的支持配合：业主委员会不定期与街道社区汇报沟通，邀请社区指导或参与小区重大事项的讨论</w:t>
      </w:r>
      <w:r>
        <w:rPr>
          <w:rFonts w:hint="eastAsia" w:ascii="宋体" w:hAnsi="Times New Roman" w:eastAsia="宋体" w:cs="Times New Roman"/>
          <w:lang w:eastAsia="zh-CN"/>
        </w:rPr>
        <w:t>，积极配合社区开展基层治理工作</w:t>
      </w:r>
      <w:r>
        <w:rPr>
          <w:rFonts w:hint="eastAsia" w:ascii="宋体" w:hAnsi="Times New Roman" w:eastAsia="宋体" w:cs="Times New Roman"/>
        </w:rPr>
        <w:t>等。</w:t>
      </w:r>
    </w:p>
    <w:p w14:paraId="783C29F1">
      <w:pPr>
        <w:spacing w:before="156" w:beforeLines="50" w:after="156" w:afterLines="50"/>
        <w:rPr>
          <w:rFonts w:hint="eastAsia" w:ascii="宋体" w:hAnsi="Times New Roman" w:eastAsia="宋体" w:cs="Times New Roman"/>
        </w:rPr>
      </w:pPr>
      <w:r>
        <w:rPr>
          <w:rFonts w:hint="eastAsia" w:ascii="宋体" w:hAnsi="Times New Roman" w:eastAsia="宋体" w:cs="Times New Roman"/>
        </w:rPr>
        <w:t>6.4.2 与小区党支部工作的</w:t>
      </w:r>
      <w:r>
        <w:rPr>
          <w:rFonts w:hint="eastAsia" w:ascii="宋体" w:hAnsi="Times New Roman" w:eastAsia="宋体" w:cs="Times New Roman"/>
          <w:lang w:eastAsia="zh-CN"/>
        </w:rPr>
        <w:t>支持</w:t>
      </w:r>
      <w:r>
        <w:rPr>
          <w:rFonts w:hint="eastAsia" w:ascii="宋体" w:hAnsi="Times New Roman" w:eastAsia="宋体" w:cs="Times New Roman"/>
        </w:rPr>
        <w:t>配合：</w:t>
      </w:r>
      <w:r>
        <w:rPr>
          <w:rFonts w:hint="eastAsia" w:ascii="宋体" w:hAnsi="Times New Roman" w:eastAsia="宋体" w:cs="Times New Roman"/>
          <w:lang w:eastAsia="zh-CN"/>
        </w:rPr>
        <w:t>业主委员会积极参与基层党建工作，</w:t>
      </w:r>
      <w:r>
        <w:rPr>
          <w:rFonts w:hint="eastAsia" w:ascii="宋体" w:hAnsi="Times New Roman" w:eastAsia="宋体" w:cs="Times New Roman"/>
        </w:rPr>
        <w:t>每年不少于</w:t>
      </w:r>
      <w:r>
        <w:rPr>
          <w:rFonts w:hint="eastAsia" w:ascii="宋体" w:hAnsi="Times New Roman" w:eastAsia="宋体" w:cs="Times New Roman"/>
          <w:lang w:val="en-US" w:eastAsia="zh-CN"/>
        </w:rPr>
        <w:t>2</w:t>
      </w:r>
      <w:r>
        <w:rPr>
          <w:rFonts w:hint="eastAsia" w:ascii="宋体" w:hAnsi="Times New Roman" w:eastAsia="宋体" w:cs="Times New Roman"/>
        </w:rPr>
        <w:t>次与</w:t>
      </w:r>
      <w:r>
        <w:rPr>
          <w:rFonts w:hint="eastAsia" w:ascii="宋体" w:hAnsi="Times New Roman" w:eastAsia="宋体" w:cs="Times New Roman"/>
          <w:lang w:eastAsia="zh-CN"/>
        </w:rPr>
        <w:t>社区（</w:t>
      </w:r>
      <w:r>
        <w:rPr>
          <w:rFonts w:hint="eastAsia" w:ascii="宋体" w:hAnsi="Times New Roman" w:eastAsia="宋体" w:cs="Times New Roman"/>
        </w:rPr>
        <w:t>小区业主</w:t>
      </w:r>
      <w:r>
        <w:rPr>
          <w:rFonts w:hint="eastAsia" w:ascii="宋体" w:hAnsi="Times New Roman" w:eastAsia="宋体" w:cs="Times New Roman"/>
          <w:lang w:eastAsia="zh-CN"/>
        </w:rPr>
        <w:t>）</w:t>
      </w:r>
      <w:r>
        <w:rPr>
          <w:rFonts w:hint="eastAsia" w:ascii="宋体" w:hAnsi="Times New Roman" w:eastAsia="宋体" w:cs="Times New Roman"/>
        </w:rPr>
        <w:t>党支部沟通会，讨论协调决议小区重大事项。</w:t>
      </w:r>
    </w:p>
    <w:p w14:paraId="37220DD8">
      <w:pPr>
        <w:spacing w:before="156" w:beforeLines="50" w:after="156" w:afterLines="50"/>
        <w:rPr>
          <w:rFonts w:ascii="宋体" w:hAnsi="Times New Roman" w:eastAsia="宋体" w:cs="Times New Roman"/>
        </w:rPr>
      </w:pPr>
      <w:r>
        <w:rPr>
          <w:rFonts w:hint="eastAsia" w:ascii="宋体" w:hAnsi="Times New Roman" w:eastAsia="宋体" w:cs="Times New Roman"/>
        </w:rPr>
        <w:t>6.4.3 与物业服务人</w:t>
      </w:r>
      <w:r>
        <w:rPr>
          <w:rFonts w:hint="eastAsia" w:ascii="宋体" w:hAnsi="Times New Roman" w:eastAsia="宋体" w:cs="Times New Roman"/>
          <w:lang w:eastAsia="zh-CN"/>
        </w:rPr>
        <w:t>的支持</w:t>
      </w:r>
      <w:r>
        <w:rPr>
          <w:rFonts w:hint="eastAsia" w:ascii="宋体" w:hAnsi="Times New Roman" w:eastAsia="宋体" w:cs="Times New Roman"/>
        </w:rPr>
        <w:t>配合：业主委员会每月不少于一次与物业服务中心开展沟通会，听取物业月度工作总结，商议相关事项，同时根据工作需要，针对小区具体的物业事务，如投诉等进行不定期沟通。</w:t>
      </w:r>
    </w:p>
    <w:p w14:paraId="3079E4B9">
      <w:pPr>
        <w:spacing w:before="156" w:beforeLines="50" w:after="156" w:afterLines="50"/>
        <w:rPr>
          <w:rFonts w:hint="eastAsia"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6.5 业主委员会重大事项</w:t>
      </w:r>
    </w:p>
    <w:p w14:paraId="4F484B19">
      <w:pPr>
        <w:spacing w:before="156" w:beforeLines="50" w:after="156" w:afterLines="50"/>
        <w:rPr>
          <w:rFonts w:hint="eastAsia" w:ascii="宋体" w:hAnsi="Times New Roman" w:eastAsia="宋体" w:cs="Times New Roman"/>
        </w:rPr>
      </w:pPr>
      <w:r>
        <w:rPr>
          <w:rFonts w:hint="eastAsia" w:ascii="宋体" w:hAnsi="Times New Roman" w:eastAsia="宋体" w:cs="Times New Roman"/>
          <w:color w:val="000000" w:themeColor="text1"/>
          <w14:textFill>
            <w14:solidFill>
              <w14:schemeClr w14:val="tx1"/>
            </w14:solidFill>
          </w14:textFill>
        </w:rPr>
        <w:t>6.5.1 续聘选聘物</w:t>
      </w:r>
      <w:r>
        <w:rPr>
          <w:rFonts w:hint="eastAsia" w:ascii="宋体" w:hAnsi="Times New Roman" w:eastAsia="宋体" w:cs="Times New Roman"/>
        </w:rPr>
        <w:t>业服务企业：依法依规续聘或选聘物业服务企业，并签订新的物业服务</w:t>
      </w:r>
      <w:bookmarkStart w:id="37" w:name="_GoBack"/>
      <w:bookmarkEnd w:id="37"/>
      <w:r>
        <w:rPr>
          <w:rFonts w:hint="eastAsia" w:ascii="宋体" w:hAnsi="Times New Roman" w:eastAsia="宋体" w:cs="Times New Roman"/>
        </w:rPr>
        <w:t>合同。</w:t>
      </w:r>
    </w:p>
    <w:p w14:paraId="2375D946">
      <w:pPr>
        <w:spacing w:before="156" w:beforeLines="50" w:after="156" w:afterLines="50"/>
        <w:rPr>
          <w:rFonts w:hint="eastAsia" w:ascii="宋体" w:hAnsi="Times New Roman" w:eastAsia="宋体" w:cs="Times New Roman"/>
        </w:rPr>
      </w:pPr>
      <w:r>
        <w:rPr>
          <w:rFonts w:hint="eastAsia" w:ascii="宋体" w:hAnsi="Times New Roman" w:eastAsia="宋体" w:cs="Times New Roman"/>
        </w:rPr>
        <w:t>6.5.2 财务审计：业主委员会委托专业第三方审计机构开展财务年度审计，并公示审计报告。</w:t>
      </w:r>
    </w:p>
    <w:p w14:paraId="7B1D0813">
      <w:pPr>
        <w:spacing w:before="156" w:beforeLines="50" w:after="156" w:afterLines="50"/>
        <w:rPr>
          <w:rFonts w:ascii="宋体" w:hAnsi="Times New Roman" w:eastAsia="宋体" w:cs="Times New Roman"/>
          <w:color w:val="000000" w:themeColor="text1"/>
          <w14:textFill>
            <w14:solidFill>
              <w14:schemeClr w14:val="tx1"/>
            </w14:solidFill>
          </w14:textFill>
        </w:rPr>
      </w:pPr>
      <w:r>
        <w:rPr>
          <w:rFonts w:hint="eastAsia" w:ascii="宋体" w:hAnsi="Times New Roman" w:eastAsia="宋体" w:cs="Times New Roman"/>
          <w:color w:val="000000" w:themeColor="text1"/>
          <w14:textFill>
            <w14:solidFill>
              <w14:schemeClr w14:val="tx1"/>
            </w14:solidFill>
          </w14:textFill>
        </w:rPr>
        <w:t>6.5.3 换届选举：业主委员会依法依规组织启动换届选举工作，并规范做好移交工作。</w:t>
      </w:r>
    </w:p>
    <w:p w14:paraId="083B8EE3">
      <w:pPr>
        <w:spacing w:before="156" w:beforeLines="50" w:after="156" w:afterLines="50"/>
        <w:rPr>
          <w:rFonts w:hint="eastAsia"/>
        </w:rPr>
      </w:pPr>
    </w:p>
    <w:bookmarkEnd w:id="35"/>
    <w:p w14:paraId="1B6EF6A7">
      <w:pPr>
        <w:rPr>
          <w:rFonts w:hint="eastAsia"/>
        </w:rPr>
      </w:pPr>
    </w:p>
    <w:p w14:paraId="0AF937FE">
      <w:pPr>
        <w:rPr>
          <w:rFonts w:hint="eastAsia"/>
        </w:rPr>
      </w:pPr>
    </w:p>
    <w:sectPr>
      <w:headerReference r:id="rId7" w:type="default"/>
      <w:footerReference r:id="rId8" w:type="default"/>
      <w:pgSz w:w="11906" w:h="16838"/>
      <w:pgMar w:top="1440" w:right="1418" w:bottom="1440" w:left="1418" w:header="170"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3A460">
    <w:pPr>
      <w:pStyle w:val="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4DBA6">
                          <w:pPr>
                            <w:pStyle w:val="9"/>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7D4DBA6">
                    <w:pPr>
                      <w:pStyle w:val="9"/>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p w14:paraId="1FB5DFC7">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6E44">
    <w:pPr>
      <w:pStyle w:val="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97C795">
                          <w:pPr>
                            <w:pStyle w:val="9"/>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thXM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28pcdziwM9Pj+cfv84/v5Nl&#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othXMEBAACNAwAADgAAAAAAAAABACAAAAAeAQAAZHJzL2Uyb0RvYy54bWxQSwUG&#10;AAAAAAYABgBZAQAAUQUAAAAA&#10;">
              <v:fill on="f" focussize="0,0"/>
              <v:stroke on="f"/>
              <v:imagedata o:title=""/>
              <o:lock v:ext="edit" aspectratio="f"/>
              <v:textbox inset="0mm,0mm,0mm,0mm" style="mso-fit-shape-to-text:t;">
                <w:txbxContent>
                  <w:p w14:paraId="5297C795">
                    <w:pPr>
                      <w:pStyle w:val="9"/>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EF5A">
    <w:pPr>
      <w:spacing w:line="177" w:lineRule="auto"/>
      <w:ind w:left="160"/>
      <w:rPr>
        <w:rFonts w:hint="eastAsia"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CB6AC">
                          <w:pPr>
                            <w:pStyle w:val="9"/>
                            <w:rPr>
                              <w:rFonts w:hint="eastAsia"/>
                            </w:rPr>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0ACB6AC">
                    <w:pPr>
                      <w:pStyle w:val="9"/>
                      <w:rPr>
                        <w:rFonts w:hint="eastAsia"/>
                      </w:rPr>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D3EC">
    <w:pPr>
      <w:pStyle w:val="10"/>
      <w:rPr>
        <w:rFonts w:hint="eastAsia" w:ascii="宋体" w:hAnsi="宋体" w:eastAsia="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56622">
                          <w:pPr>
                            <w:pStyle w:val="10"/>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E256622">
                    <w:pPr>
                      <w:pStyle w:val="10"/>
                      <w:rPr>
                        <w:rFonts w:hint="eastAsia" w:eastAsiaTheme="minorEastAsia"/>
                        <w:lang w:eastAsia="zh-CN"/>
                      </w:rPr>
                    </w:pPr>
                  </w:p>
                </w:txbxContent>
              </v:textbox>
            </v:shape>
          </w:pict>
        </mc:Fallback>
      </mc:AlternateContent>
    </w:r>
    <w:r>
      <w:rPr>
        <w:rFonts w:hint="eastAsia"/>
      </w:rPr>
      <w:t xml:space="preserve">                               住宅小区业主委员会</w:t>
    </w:r>
    <w:r>
      <w:rPr>
        <w:rFonts w:hint="eastAsia"/>
        <w:lang w:eastAsia="zh-CN"/>
      </w:rPr>
      <w:t>规范</w:t>
    </w:r>
    <w:r>
      <w:rPr>
        <w:rFonts w:hint="eastAsia"/>
      </w:rPr>
      <w:t>建设</w:t>
    </w:r>
    <w:r>
      <w:rPr>
        <w:rFonts w:hint="eastAsia"/>
        <w:lang w:eastAsia="zh-CN"/>
      </w:rPr>
      <w:t>工作指引</w:t>
    </w:r>
    <w:r>
      <w:rPr>
        <w:rFonts w:hint="eastAsia" w:ascii="宋体" w:hAnsi="宋体" w:eastAsia="宋体" w:cs="宋体"/>
      </w:rPr>
      <w:t xml:space="preserve">                  T/HNWX 003-2024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AB94">
    <w:pPr>
      <w:pStyle w:val="10"/>
      <w:rPr>
        <w:rFonts w:hint="eastAsia"/>
      </w:rPr>
    </w:pPr>
    <w:r>
      <w:rPr>
        <w:rFonts w:hint="eastAsia"/>
      </w:rPr>
      <w:t xml:space="preserve">                                 物业项目共用设施设备巡检工作指引                 </w:t>
    </w:r>
    <w:r>
      <w:rPr>
        <w:rFonts w:hint="eastAsia" w:ascii="宋体" w:hAnsi="宋体" w:eastAsia="宋体" w:cs="宋体"/>
        <w:sz w:val="20"/>
        <w:szCs w:val="20"/>
      </w:rPr>
      <w:t>T/HNWX 00</w:t>
    </w:r>
    <w:r>
      <w:rPr>
        <w:rFonts w:hint="eastAsia" w:ascii="宋体" w:hAnsi="宋体" w:cs="宋体"/>
        <w:sz w:val="20"/>
        <w:szCs w:val="20"/>
      </w:rPr>
      <w:t>2</w:t>
    </w:r>
    <w:r>
      <w:rPr>
        <w:rFonts w:hint="eastAsia" w:ascii="宋体" w:hAnsi="宋体" w:eastAsia="宋体" w:cs="宋体"/>
        <w:sz w:val="20"/>
        <w:szCs w:val="20"/>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F93C">
    <w:pPr>
      <w:pStyle w:val="1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8F5E3">
                          <w:pPr>
                            <w:pStyle w:val="10"/>
                            <w:rPr>
                              <w:rFonts w:hint="eastAsia"/>
                            </w:rPr>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608F5E3">
                    <w:pPr>
                      <w:pStyle w:val="10"/>
                      <w:rPr>
                        <w:rFonts w:hint="eastAsia"/>
                      </w:rPr>
                    </w:pPr>
                    <w:r>
                      <w:fldChar w:fldCharType="begin"/>
                    </w:r>
                    <w:r>
                      <w:instrText xml:space="preserve"> PAGE  \* MERGEFORMAT </w:instrText>
                    </w:r>
                    <w:r>
                      <w:fldChar w:fldCharType="separate"/>
                    </w:r>
                    <w:r>
                      <w:t>12</w:t>
                    </w:r>
                    <w:r>
                      <w:fldChar w:fldCharType="end"/>
                    </w:r>
                  </w:p>
                </w:txbxContent>
              </v:textbox>
            </v:shape>
          </w:pict>
        </mc:Fallback>
      </mc:AlternateContent>
    </w:r>
  </w:p>
  <w:p w14:paraId="29146AD5">
    <w:pPr>
      <w:pStyle w:val="10"/>
      <w:rPr>
        <w:rFonts w:hint="eastAsia"/>
      </w:rPr>
    </w:pPr>
  </w:p>
  <w:p w14:paraId="0F5346C6">
    <w:pPr>
      <w:pStyle w:val="10"/>
      <w:rPr>
        <w:rFonts w:hint="eastAsia"/>
      </w:rPr>
    </w:pPr>
  </w:p>
  <w:p w14:paraId="08CEC1CC">
    <w:pPr>
      <w:pStyle w:val="10"/>
      <w:jc w:val="left"/>
      <w:rPr>
        <w:rFonts w:hint="eastAsia"/>
      </w:rPr>
    </w:pPr>
  </w:p>
  <w:p w14:paraId="7EED547F">
    <w:pPr>
      <w:pStyle w:val="10"/>
      <w:rPr>
        <w:rFonts w:hint="eastAsia" w:eastAsia="宋体"/>
      </w:rPr>
    </w:pPr>
    <w:r>
      <w:rPr>
        <w:rFonts w:hint="eastAsia"/>
      </w:rPr>
      <w:t xml:space="preserve">                               住宅小区业主委员会建设工作指引</w:t>
    </w:r>
    <w:r>
      <w:t xml:space="preserve">     </w:t>
    </w:r>
    <w:r>
      <w:rPr>
        <w:rFonts w:hint="eastAsia"/>
      </w:rPr>
      <w:t xml:space="preserve">  </w:t>
    </w:r>
    <w:r>
      <w:t xml:space="preserve">  </w:t>
    </w:r>
    <w:r>
      <w:rPr>
        <w:rFonts w:hint="eastAsia"/>
      </w:rPr>
      <w:t xml:space="preserve">               </w:t>
    </w:r>
    <w:r>
      <w:rPr>
        <w:rFonts w:hint="eastAsia" w:ascii="宋体" w:hAnsi="宋体" w:eastAsia="宋体" w:cs="宋体"/>
      </w:rPr>
      <w:t>T/HNWX 003-2024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10A5D"/>
    <w:multiLevelType w:val="multilevel"/>
    <w:tmpl w:val="E9E10A5D"/>
    <w:lvl w:ilvl="0" w:tentative="0">
      <w:start w:val="1"/>
      <w:numFmt w:val="none"/>
      <w:suff w:val="nothing"/>
      <w:lvlText w:val="3.3.1%1"/>
      <w:lvlJc w:val="left"/>
      <w:pPr>
        <w:tabs>
          <w:tab w:val="left" w:pos="0"/>
        </w:tabs>
        <w:ind w:left="0" w:firstLine="0"/>
      </w:pPr>
      <w:rPr>
        <w:rFonts w:hint="default" w:ascii="宋体" w:hAnsi="宋体" w:eastAsia="宋体" w:cs="宋体"/>
      </w:rPr>
    </w:lvl>
    <w:lvl w:ilvl="1" w:tentative="0">
      <w:start w:val="1"/>
      <w:numFmt w:val="none"/>
      <w:pStyle w:val="28"/>
      <w:suff w:val="nothing"/>
      <w:lvlText w:val="3.3.2"/>
      <w:lvlJc w:val="left"/>
      <w:pPr>
        <w:ind w:left="0" w:firstLine="0"/>
      </w:pPr>
      <w:rPr>
        <w:rFonts w:hint="default" w:ascii="宋体" w:hAnsi="宋体" w:eastAsia="宋体" w:cs="宋体"/>
        <w:b w:val="0"/>
        <w:i w:val="0"/>
        <w:sz w:val="21"/>
      </w:rPr>
    </w:lvl>
    <w:lvl w:ilvl="2" w:tentative="0">
      <w:start w:val="1"/>
      <w:numFmt w:val="none"/>
      <w:suff w:val="nothing"/>
      <w:lvlText w:val="3.3.3"/>
      <w:lvlJc w:val="left"/>
      <w:pPr>
        <w:ind w:left="0" w:firstLine="0"/>
      </w:pPr>
      <w:rPr>
        <w:rFonts w:hint="default" w:ascii="宋体" w:hAnsi="宋体" w:eastAsia="宋体" w:cs="宋体"/>
        <w:b w:val="0"/>
        <w:bCs w:val="0"/>
        <w:i w:val="0"/>
        <w:iCs w:val="0"/>
        <w:caps w:val="0"/>
        <w:smallCaps w:val="0"/>
        <w:strike w:val="0"/>
        <w:dstrike w:val="0"/>
        <w:vanish w:val="0"/>
        <w:color w:val="auto"/>
        <w:spacing w:val="0"/>
        <w:kern w:val="0"/>
        <w:position w:val="0"/>
        <w:sz w:val="21"/>
        <w:u w:val="none"/>
        <w:vertAlign w:val="baseline"/>
      </w:rPr>
    </w:lvl>
    <w:lvl w:ilvl="3" w:tentative="0">
      <w:start w:val="1"/>
      <w:numFmt w:val="none"/>
      <w:suff w:val="nothing"/>
      <w:lvlText w:val="3.3.4"/>
      <w:lvlJc w:val="left"/>
      <w:pPr>
        <w:ind w:left="0" w:firstLine="0"/>
      </w:pPr>
      <w:rPr>
        <w:rFonts w:hint="default" w:ascii="宋体" w:hAnsi="宋体" w:eastAsia="宋体" w:cs="宋体"/>
        <w:b w:val="0"/>
        <w:i w:val="0"/>
        <w:sz w:val="21"/>
      </w:rPr>
    </w:lvl>
    <w:lvl w:ilvl="4" w:tentative="0">
      <w:start w:val="1"/>
      <w:numFmt w:val="none"/>
      <w:suff w:val="nothing"/>
      <w:lvlText w:val="3.3.5"/>
      <w:lvlJc w:val="left"/>
      <w:pPr>
        <w:ind w:left="0" w:firstLine="0"/>
      </w:pPr>
      <w:rPr>
        <w:rFonts w:hint="default" w:ascii="宋体" w:hAnsi="宋体" w:eastAsia="宋体" w:cs="宋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F8761B8"/>
    <w:multiLevelType w:val="multilevel"/>
    <w:tmpl w:val="0F8761B8"/>
    <w:lvl w:ilvl="0" w:tentative="0">
      <w:start w:val="1"/>
      <w:numFmt w:val="decimal"/>
      <w:pStyle w:val="31"/>
      <w:lvlText w:val="%1"/>
      <w:lvlJc w:val="left"/>
      <w:pPr>
        <w:ind w:left="420" w:hanging="420"/>
      </w:pPr>
      <w:rPr>
        <w:rFonts w:hint="eastAsia" w:ascii="黑体" w:eastAsia="黑体"/>
      </w:rPr>
    </w:lvl>
    <w:lvl w:ilvl="1" w:tentative="0">
      <w:start w:val="2"/>
      <w:numFmt w:val="decimal"/>
      <w:isLgl/>
      <w:lvlText w:val="%1.%2"/>
      <w:lvlJc w:val="left"/>
      <w:pPr>
        <w:ind w:left="840" w:hanging="840"/>
      </w:pPr>
      <w:rPr>
        <w:rFonts w:hint="eastAsia" w:ascii="黑体" w:eastAsia="黑体"/>
      </w:rPr>
    </w:lvl>
    <w:lvl w:ilvl="2" w:tentative="0">
      <w:start w:val="1"/>
      <w:numFmt w:val="decimal"/>
      <w:isLgl/>
      <w:lvlText w:val="%1.%2.%3"/>
      <w:lvlJc w:val="left"/>
      <w:pPr>
        <w:ind w:left="840" w:hanging="840"/>
      </w:pPr>
      <w:rPr>
        <w:rFonts w:hint="eastAsia" w:ascii="黑体" w:eastAsia="黑体"/>
      </w:rPr>
    </w:lvl>
    <w:lvl w:ilvl="3" w:tentative="0">
      <w:start w:val="1"/>
      <w:numFmt w:val="decimal"/>
      <w:isLgl/>
      <w:lvlText w:val="%1.%2.%3.%4"/>
      <w:lvlJc w:val="left"/>
      <w:pPr>
        <w:ind w:left="1080" w:hanging="1080"/>
      </w:pPr>
      <w:rPr>
        <w:rFonts w:hint="eastAsia" w:asci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31141A48"/>
    <w:multiLevelType w:val="multilevel"/>
    <w:tmpl w:val="31141A48"/>
    <w:lvl w:ilvl="0" w:tentative="0">
      <w:start w:val="1"/>
      <w:numFmt w:val="decimal"/>
      <w:pStyle w:val="26"/>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none"/>
      <w:suff w:val="nothing"/>
      <w:lvlText w:val="%1"/>
      <w:lvlJc w:val="left"/>
      <w:pPr>
        <w:tabs>
          <w:tab w:val="left" w:pos="0"/>
        </w:tabs>
        <w:ind w:left="0" w:firstLine="0"/>
      </w:pPr>
      <w:rPr>
        <w:rFonts w:hint="default" w:ascii="黑体" w:hAnsi="黑体" w:eastAsia="黑体" w:cs="黑体"/>
        <w:b w:val="0"/>
        <w:bCs w:val="0"/>
        <w:i w:val="0"/>
        <w:iCs w:val="0"/>
        <w:caps w:val="0"/>
        <w:strike w:val="0"/>
        <w:dstrike w:val="0"/>
        <w:vanish w:val="0"/>
        <w:spacing w:val="0"/>
        <w:kern w:val="0"/>
        <w:position w:val="0"/>
        <w:sz w:val="21"/>
        <w:szCs w:val="21"/>
        <w:u w:val="none"/>
        <w:vertAlign w:val="baseline"/>
      </w:rPr>
    </w:lvl>
    <w:lvl w:ilvl="2" w:tentative="0">
      <w:start w:val="1"/>
      <w:numFmt w:val="decimal"/>
      <w:suff w:val="space"/>
      <w:lvlText w:val="%1.%2.%3　"/>
      <w:lvlJc w:val="left"/>
      <w:pPr>
        <w:tabs>
          <w:tab w:val="left" w:pos="420"/>
        </w:tabs>
        <w:ind w:left="567" w:hanging="567"/>
      </w:pPr>
      <w:rPr>
        <w:rFonts w:hint="default"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C6DD2F8"/>
    <w:multiLevelType w:val="multilevel"/>
    <w:tmpl w:val="5C6DD2F8"/>
    <w:lvl w:ilvl="0" w:tentative="0">
      <w:start w:val="0"/>
      <w:numFmt w:val="decimal"/>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suff w:val="nothing"/>
      <w:lvlText w:val="%1.%2　"/>
      <w:lvlJc w:val="left"/>
      <w:pPr>
        <w:tabs>
          <w:tab w:val="left" w:pos="0"/>
        </w:tabs>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44"/>
      <w:suff w:val="nothing"/>
      <w:lvlText w:val="%1.%2.%3.%4　"/>
      <w:lvlJc w:val="left"/>
      <w:pPr>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DY4NjJmMWY4YTE4ZmNmNjU2OGFhOThmODY2ZGEifQ=="/>
  </w:docVars>
  <w:rsids>
    <w:rsidRoot w:val="005C010D"/>
    <w:rsid w:val="00016DFB"/>
    <w:rsid w:val="00064694"/>
    <w:rsid w:val="00065174"/>
    <w:rsid w:val="00075854"/>
    <w:rsid w:val="000F14D4"/>
    <w:rsid w:val="00130DFF"/>
    <w:rsid w:val="001B0F6E"/>
    <w:rsid w:val="001B22B9"/>
    <w:rsid w:val="001C7750"/>
    <w:rsid w:val="001D0022"/>
    <w:rsid w:val="001F2B50"/>
    <w:rsid w:val="00225D6B"/>
    <w:rsid w:val="00227F1E"/>
    <w:rsid w:val="00234325"/>
    <w:rsid w:val="00256548"/>
    <w:rsid w:val="00274B0A"/>
    <w:rsid w:val="00286FAE"/>
    <w:rsid w:val="003005F8"/>
    <w:rsid w:val="00366C1F"/>
    <w:rsid w:val="00380BB1"/>
    <w:rsid w:val="00392EB1"/>
    <w:rsid w:val="003A1C16"/>
    <w:rsid w:val="003B5845"/>
    <w:rsid w:val="004B4AC8"/>
    <w:rsid w:val="004B7C9D"/>
    <w:rsid w:val="004C6FF6"/>
    <w:rsid w:val="005004A6"/>
    <w:rsid w:val="005107DA"/>
    <w:rsid w:val="0052201E"/>
    <w:rsid w:val="00555FE2"/>
    <w:rsid w:val="00556BFF"/>
    <w:rsid w:val="0057610D"/>
    <w:rsid w:val="005C010D"/>
    <w:rsid w:val="005E6A72"/>
    <w:rsid w:val="006240C0"/>
    <w:rsid w:val="00641B3F"/>
    <w:rsid w:val="0067226C"/>
    <w:rsid w:val="006A1565"/>
    <w:rsid w:val="006B49E3"/>
    <w:rsid w:val="006D7BE8"/>
    <w:rsid w:val="00705EE5"/>
    <w:rsid w:val="00755D14"/>
    <w:rsid w:val="00771B39"/>
    <w:rsid w:val="00775799"/>
    <w:rsid w:val="00787D7C"/>
    <w:rsid w:val="007C51F4"/>
    <w:rsid w:val="007D4921"/>
    <w:rsid w:val="0080750A"/>
    <w:rsid w:val="00834BCA"/>
    <w:rsid w:val="008452E2"/>
    <w:rsid w:val="00885B23"/>
    <w:rsid w:val="008A28E0"/>
    <w:rsid w:val="008C5461"/>
    <w:rsid w:val="008E2B37"/>
    <w:rsid w:val="009124DF"/>
    <w:rsid w:val="009638B7"/>
    <w:rsid w:val="0099597A"/>
    <w:rsid w:val="009A4C5C"/>
    <w:rsid w:val="009C1D73"/>
    <w:rsid w:val="009C76F2"/>
    <w:rsid w:val="009E33C0"/>
    <w:rsid w:val="009E73C1"/>
    <w:rsid w:val="00AD7A5B"/>
    <w:rsid w:val="00AE4AD1"/>
    <w:rsid w:val="00AF6F88"/>
    <w:rsid w:val="00C11565"/>
    <w:rsid w:val="00C24EC8"/>
    <w:rsid w:val="00C557E2"/>
    <w:rsid w:val="00D008C1"/>
    <w:rsid w:val="00D566F6"/>
    <w:rsid w:val="00D610E0"/>
    <w:rsid w:val="00D7120F"/>
    <w:rsid w:val="00DB0904"/>
    <w:rsid w:val="00DC6724"/>
    <w:rsid w:val="00E32C29"/>
    <w:rsid w:val="00E5256F"/>
    <w:rsid w:val="00E9189B"/>
    <w:rsid w:val="00EC5A57"/>
    <w:rsid w:val="00F1256C"/>
    <w:rsid w:val="00F708E4"/>
    <w:rsid w:val="00FA1C2C"/>
    <w:rsid w:val="00FA6C8D"/>
    <w:rsid w:val="00FC1360"/>
    <w:rsid w:val="00FC78E7"/>
    <w:rsid w:val="014970E8"/>
    <w:rsid w:val="0159126E"/>
    <w:rsid w:val="018F6A3E"/>
    <w:rsid w:val="01B446F6"/>
    <w:rsid w:val="01EF4CB3"/>
    <w:rsid w:val="0287190E"/>
    <w:rsid w:val="02900CBF"/>
    <w:rsid w:val="02A227A1"/>
    <w:rsid w:val="03200295"/>
    <w:rsid w:val="033B5136"/>
    <w:rsid w:val="03685798"/>
    <w:rsid w:val="03A8313E"/>
    <w:rsid w:val="03A93FA5"/>
    <w:rsid w:val="03C350C4"/>
    <w:rsid w:val="040914DB"/>
    <w:rsid w:val="05061B9E"/>
    <w:rsid w:val="050B0AD1"/>
    <w:rsid w:val="05355B4E"/>
    <w:rsid w:val="05B60A3D"/>
    <w:rsid w:val="063E0A32"/>
    <w:rsid w:val="065B15E4"/>
    <w:rsid w:val="066606B5"/>
    <w:rsid w:val="072E0AA7"/>
    <w:rsid w:val="0772157C"/>
    <w:rsid w:val="077C7A64"/>
    <w:rsid w:val="08056797"/>
    <w:rsid w:val="08A06217"/>
    <w:rsid w:val="08AB1493"/>
    <w:rsid w:val="09053F45"/>
    <w:rsid w:val="094620D8"/>
    <w:rsid w:val="095F13EB"/>
    <w:rsid w:val="0995580E"/>
    <w:rsid w:val="09B73F2F"/>
    <w:rsid w:val="09DF6B75"/>
    <w:rsid w:val="0AA922E2"/>
    <w:rsid w:val="0AB577EF"/>
    <w:rsid w:val="0BB73761"/>
    <w:rsid w:val="0BDE6F3F"/>
    <w:rsid w:val="0BF66031"/>
    <w:rsid w:val="0C4F739A"/>
    <w:rsid w:val="0C7C4062"/>
    <w:rsid w:val="0CA670FE"/>
    <w:rsid w:val="0D9F44AC"/>
    <w:rsid w:val="0EDE1004"/>
    <w:rsid w:val="0F0D45F7"/>
    <w:rsid w:val="0F386966"/>
    <w:rsid w:val="0F6239E3"/>
    <w:rsid w:val="108468B8"/>
    <w:rsid w:val="109853C9"/>
    <w:rsid w:val="10C4169A"/>
    <w:rsid w:val="10E4756D"/>
    <w:rsid w:val="117501E5"/>
    <w:rsid w:val="11797CE4"/>
    <w:rsid w:val="12295A5F"/>
    <w:rsid w:val="1272218F"/>
    <w:rsid w:val="12B22D9A"/>
    <w:rsid w:val="12C66175"/>
    <w:rsid w:val="132E255A"/>
    <w:rsid w:val="136F4921"/>
    <w:rsid w:val="138008DC"/>
    <w:rsid w:val="13A10F7E"/>
    <w:rsid w:val="13CC1D73"/>
    <w:rsid w:val="14DC1F60"/>
    <w:rsid w:val="15060101"/>
    <w:rsid w:val="157051A0"/>
    <w:rsid w:val="16690AE9"/>
    <w:rsid w:val="16EF50A8"/>
    <w:rsid w:val="174F3A55"/>
    <w:rsid w:val="17683B61"/>
    <w:rsid w:val="17800EAB"/>
    <w:rsid w:val="17924255"/>
    <w:rsid w:val="17CA1403"/>
    <w:rsid w:val="18624A54"/>
    <w:rsid w:val="18711565"/>
    <w:rsid w:val="18D4735F"/>
    <w:rsid w:val="194B54E8"/>
    <w:rsid w:val="19B20780"/>
    <w:rsid w:val="1B3E255E"/>
    <w:rsid w:val="1BCD6126"/>
    <w:rsid w:val="1C5A3B8F"/>
    <w:rsid w:val="1D100F23"/>
    <w:rsid w:val="1D5875A3"/>
    <w:rsid w:val="1DA82F09"/>
    <w:rsid w:val="1DAF5D29"/>
    <w:rsid w:val="1DE44279"/>
    <w:rsid w:val="1F6A5E8C"/>
    <w:rsid w:val="1F9F033C"/>
    <w:rsid w:val="20270A5D"/>
    <w:rsid w:val="20E21E67"/>
    <w:rsid w:val="21052075"/>
    <w:rsid w:val="2116253A"/>
    <w:rsid w:val="219C0FF2"/>
    <w:rsid w:val="21CD74E5"/>
    <w:rsid w:val="229B7976"/>
    <w:rsid w:val="24125580"/>
    <w:rsid w:val="2446347C"/>
    <w:rsid w:val="24637B8A"/>
    <w:rsid w:val="25B311EB"/>
    <w:rsid w:val="25FE400E"/>
    <w:rsid w:val="270E0F5F"/>
    <w:rsid w:val="27402404"/>
    <w:rsid w:val="27A91D58"/>
    <w:rsid w:val="27E46B57"/>
    <w:rsid w:val="27FA4721"/>
    <w:rsid w:val="281F13DC"/>
    <w:rsid w:val="286839C1"/>
    <w:rsid w:val="287C1C4D"/>
    <w:rsid w:val="28CC03F4"/>
    <w:rsid w:val="28E45EA3"/>
    <w:rsid w:val="296E3063"/>
    <w:rsid w:val="2A697EC4"/>
    <w:rsid w:val="2AB97E57"/>
    <w:rsid w:val="2AC450FA"/>
    <w:rsid w:val="2B05106A"/>
    <w:rsid w:val="2BCF3D57"/>
    <w:rsid w:val="2BE47951"/>
    <w:rsid w:val="2C093A10"/>
    <w:rsid w:val="2C444745"/>
    <w:rsid w:val="2CDF7FCA"/>
    <w:rsid w:val="2DB651CE"/>
    <w:rsid w:val="2DD461B9"/>
    <w:rsid w:val="2DE03FF9"/>
    <w:rsid w:val="2EBC4C47"/>
    <w:rsid w:val="2F3A598B"/>
    <w:rsid w:val="2FB73B63"/>
    <w:rsid w:val="301F52AD"/>
    <w:rsid w:val="30612CD6"/>
    <w:rsid w:val="30B00462"/>
    <w:rsid w:val="30E36564"/>
    <w:rsid w:val="311A5A74"/>
    <w:rsid w:val="31BB1005"/>
    <w:rsid w:val="31EF0CAF"/>
    <w:rsid w:val="323E13CD"/>
    <w:rsid w:val="327C681A"/>
    <w:rsid w:val="32D54349"/>
    <w:rsid w:val="333D62EB"/>
    <w:rsid w:val="335F00B6"/>
    <w:rsid w:val="33AB1C16"/>
    <w:rsid w:val="33E16D1D"/>
    <w:rsid w:val="33E56454"/>
    <w:rsid w:val="33EA3E24"/>
    <w:rsid w:val="340D18C0"/>
    <w:rsid w:val="34390907"/>
    <w:rsid w:val="34476B80"/>
    <w:rsid w:val="3463442E"/>
    <w:rsid w:val="34891CE8"/>
    <w:rsid w:val="34AC10D9"/>
    <w:rsid w:val="34EF0FC6"/>
    <w:rsid w:val="35133FF2"/>
    <w:rsid w:val="353F6406"/>
    <w:rsid w:val="356279EA"/>
    <w:rsid w:val="357317BF"/>
    <w:rsid w:val="35771F10"/>
    <w:rsid w:val="35A16764"/>
    <w:rsid w:val="35BB6E36"/>
    <w:rsid w:val="35CD57AB"/>
    <w:rsid w:val="35D23A20"/>
    <w:rsid w:val="3682527D"/>
    <w:rsid w:val="36A4650C"/>
    <w:rsid w:val="36D861B6"/>
    <w:rsid w:val="36EB413B"/>
    <w:rsid w:val="371C121D"/>
    <w:rsid w:val="37F2196E"/>
    <w:rsid w:val="380B25BB"/>
    <w:rsid w:val="383733B0"/>
    <w:rsid w:val="38695E28"/>
    <w:rsid w:val="38744170"/>
    <w:rsid w:val="393B3575"/>
    <w:rsid w:val="39420878"/>
    <w:rsid w:val="398919E9"/>
    <w:rsid w:val="398F68C1"/>
    <w:rsid w:val="39E6633B"/>
    <w:rsid w:val="3A377697"/>
    <w:rsid w:val="3A667E39"/>
    <w:rsid w:val="3A7D77A0"/>
    <w:rsid w:val="3A8C78F3"/>
    <w:rsid w:val="3A9973B9"/>
    <w:rsid w:val="3AA47EC1"/>
    <w:rsid w:val="3AAD1DA7"/>
    <w:rsid w:val="3AE960B8"/>
    <w:rsid w:val="3B137B19"/>
    <w:rsid w:val="3B620744"/>
    <w:rsid w:val="3C8D262F"/>
    <w:rsid w:val="3CC176EC"/>
    <w:rsid w:val="3DFC6BC1"/>
    <w:rsid w:val="3E375EB7"/>
    <w:rsid w:val="3EBC467D"/>
    <w:rsid w:val="3ECF60F0"/>
    <w:rsid w:val="3EE6168C"/>
    <w:rsid w:val="3F037256"/>
    <w:rsid w:val="3F655964"/>
    <w:rsid w:val="3F7817D1"/>
    <w:rsid w:val="3F9E147C"/>
    <w:rsid w:val="3FFD6C8D"/>
    <w:rsid w:val="40245FBE"/>
    <w:rsid w:val="40423020"/>
    <w:rsid w:val="40475717"/>
    <w:rsid w:val="40482E55"/>
    <w:rsid w:val="405D1A2A"/>
    <w:rsid w:val="4106345F"/>
    <w:rsid w:val="413E306F"/>
    <w:rsid w:val="419F30F7"/>
    <w:rsid w:val="425D3A13"/>
    <w:rsid w:val="42707588"/>
    <w:rsid w:val="43392467"/>
    <w:rsid w:val="4383394D"/>
    <w:rsid w:val="43D441A9"/>
    <w:rsid w:val="445A7108"/>
    <w:rsid w:val="44664C9E"/>
    <w:rsid w:val="45035BE6"/>
    <w:rsid w:val="45FE123E"/>
    <w:rsid w:val="46407F75"/>
    <w:rsid w:val="46575ABF"/>
    <w:rsid w:val="46616C51"/>
    <w:rsid w:val="468676A1"/>
    <w:rsid w:val="46CA2BEE"/>
    <w:rsid w:val="46ED7A5B"/>
    <w:rsid w:val="47040901"/>
    <w:rsid w:val="473E2065"/>
    <w:rsid w:val="47CF6B40"/>
    <w:rsid w:val="48A437F3"/>
    <w:rsid w:val="48CD6FC5"/>
    <w:rsid w:val="4911305A"/>
    <w:rsid w:val="493059DD"/>
    <w:rsid w:val="49731D6E"/>
    <w:rsid w:val="49AD34D2"/>
    <w:rsid w:val="49BC3715"/>
    <w:rsid w:val="49C004B1"/>
    <w:rsid w:val="4A1D7FF3"/>
    <w:rsid w:val="4A7144FF"/>
    <w:rsid w:val="4A783AE0"/>
    <w:rsid w:val="4A873D23"/>
    <w:rsid w:val="4A8C6520"/>
    <w:rsid w:val="4ADD7DE7"/>
    <w:rsid w:val="4B3A6FE7"/>
    <w:rsid w:val="4BD42F98"/>
    <w:rsid w:val="4C0D46FC"/>
    <w:rsid w:val="4C48746A"/>
    <w:rsid w:val="4CCA6149"/>
    <w:rsid w:val="4D2C6E03"/>
    <w:rsid w:val="4D670F18"/>
    <w:rsid w:val="4D826A23"/>
    <w:rsid w:val="4DA62712"/>
    <w:rsid w:val="4DD45B29"/>
    <w:rsid w:val="4DF56602"/>
    <w:rsid w:val="4E502585"/>
    <w:rsid w:val="4EEA2AD2"/>
    <w:rsid w:val="4EF512B7"/>
    <w:rsid w:val="4F493C9D"/>
    <w:rsid w:val="4F7F2836"/>
    <w:rsid w:val="4F9229F7"/>
    <w:rsid w:val="4FB61625"/>
    <w:rsid w:val="50006C82"/>
    <w:rsid w:val="507C775A"/>
    <w:rsid w:val="508D1967"/>
    <w:rsid w:val="50B82E88"/>
    <w:rsid w:val="50F4565F"/>
    <w:rsid w:val="50F63C66"/>
    <w:rsid w:val="510C6D30"/>
    <w:rsid w:val="51146A71"/>
    <w:rsid w:val="5174488D"/>
    <w:rsid w:val="51E536A1"/>
    <w:rsid w:val="52352172"/>
    <w:rsid w:val="52BC73B9"/>
    <w:rsid w:val="5340541C"/>
    <w:rsid w:val="534F7AC3"/>
    <w:rsid w:val="535E75EB"/>
    <w:rsid w:val="53B526BA"/>
    <w:rsid w:val="54AD450B"/>
    <w:rsid w:val="550A3CE6"/>
    <w:rsid w:val="552C0043"/>
    <w:rsid w:val="552C5748"/>
    <w:rsid w:val="555F54E6"/>
    <w:rsid w:val="557650C0"/>
    <w:rsid w:val="559317CE"/>
    <w:rsid w:val="568D7E48"/>
    <w:rsid w:val="56A80AE0"/>
    <w:rsid w:val="56CA1E23"/>
    <w:rsid w:val="56CC44A1"/>
    <w:rsid w:val="57454A79"/>
    <w:rsid w:val="578870F5"/>
    <w:rsid w:val="57AD0DA8"/>
    <w:rsid w:val="580515D3"/>
    <w:rsid w:val="580E1F46"/>
    <w:rsid w:val="582B2191"/>
    <w:rsid w:val="58A41F44"/>
    <w:rsid w:val="58CB74D0"/>
    <w:rsid w:val="58CD149A"/>
    <w:rsid w:val="58DE011E"/>
    <w:rsid w:val="59254E33"/>
    <w:rsid w:val="594B23BF"/>
    <w:rsid w:val="595806A9"/>
    <w:rsid w:val="5980650D"/>
    <w:rsid w:val="59D24C36"/>
    <w:rsid w:val="59E86B33"/>
    <w:rsid w:val="5AC233DE"/>
    <w:rsid w:val="5B1319B8"/>
    <w:rsid w:val="5B17525C"/>
    <w:rsid w:val="5B2A2BD4"/>
    <w:rsid w:val="5B3475AF"/>
    <w:rsid w:val="5CC111E7"/>
    <w:rsid w:val="5CD66444"/>
    <w:rsid w:val="5D0C1DB8"/>
    <w:rsid w:val="5D3F6254"/>
    <w:rsid w:val="5DBE5856"/>
    <w:rsid w:val="5DE47EC9"/>
    <w:rsid w:val="5E345B18"/>
    <w:rsid w:val="5E6E2DD8"/>
    <w:rsid w:val="5E9E552C"/>
    <w:rsid w:val="5EA318D7"/>
    <w:rsid w:val="5F173E8C"/>
    <w:rsid w:val="5F2B6F1B"/>
    <w:rsid w:val="5F3062DF"/>
    <w:rsid w:val="5F335DCF"/>
    <w:rsid w:val="5F3424FA"/>
    <w:rsid w:val="5F860448"/>
    <w:rsid w:val="5FD41360"/>
    <w:rsid w:val="60B87A13"/>
    <w:rsid w:val="616404C2"/>
    <w:rsid w:val="61B054B5"/>
    <w:rsid w:val="61BB6791"/>
    <w:rsid w:val="624A7792"/>
    <w:rsid w:val="62BE3C02"/>
    <w:rsid w:val="63260125"/>
    <w:rsid w:val="63F7386F"/>
    <w:rsid w:val="64236413"/>
    <w:rsid w:val="643221AC"/>
    <w:rsid w:val="648844C8"/>
    <w:rsid w:val="64C64439"/>
    <w:rsid w:val="64D44DE6"/>
    <w:rsid w:val="65044496"/>
    <w:rsid w:val="652E32C1"/>
    <w:rsid w:val="653C15BA"/>
    <w:rsid w:val="65516FAF"/>
    <w:rsid w:val="658D20B3"/>
    <w:rsid w:val="660A2DAC"/>
    <w:rsid w:val="661D3887"/>
    <w:rsid w:val="674072DB"/>
    <w:rsid w:val="680B51D4"/>
    <w:rsid w:val="683C4B00"/>
    <w:rsid w:val="685D3BDC"/>
    <w:rsid w:val="6A866973"/>
    <w:rsid w:val="6ACF4235"/>
    <w:rsid w:val="6B383AB7"/>
    <w:rsid w:val="6B451364"/>
    <w:rsid w:val="6B757B92"/>
    <w:rsid w:val="6CEE713D"/>
    <w:rsid w:val="6D5E2269"/>
    <w:rsid w:val="6D8A2D46"/>
    <w:rsid w:val="6D9D5488"/>
    <w:rsid w:val="6D9D7236"/>
    <w:rsid w:val="6DD910A7"/>
    <w:rsid w:val="6E4E40A8"/>
    <w:rsid w:val="6E5857FA"/>
    <w:rsid w:val="6EC151A6"/>
    <w:rsid w:val="6F413BF1"/>
    <w:rsid w:val="6F765F90"/>
    <w:rsid w:val="6FC0720B"/>
    <w:rsid w:val="6FC724FF"/>
    <w:rsid w:val="71974A78"/>
    <w:rsid w:val="71C70D25"/>
    <w:rsid w:val="71D4631E"/>
    <w:rsid w:val="71ED3A04"/>
    <w:rsid w:val="72182020"/>
    <w:rsid w:val="726A345E"/>
    <w:rsid w:val="72A93F87"/>
    <w:rsid w:val="72F4685D"/>
    <w:rsid w:val="739B4217"/>
    <w:rsid w:val="73F71B94"/>
    <w:rsid w:val="73FC0A2E"/>
    <w:rsid w:val="74420990"/>
    <w:rsid w:val="74DB208E"/>
    <w:rsid w:val="75802D8A"/>
    <w:rsid w:val="759D45EE"/>
    <w:rsid w:val="7614205F"/>
    <w:rsid w:val="76DB0DCF"/>
    <w:rsid w:val="772866C8"/>
    <w:rsid w:val="777575AA"/>
    <w:rsid w:val="77A17922"/>
    <w:rsid w:val="77BA09E4"/>
    <w:rsid w:val="77CD2D04"/>
    <w:rsid w:val="78964FAD"/>
    <w:rsid w:val="78A21BA4"/>
    <w:rsid w:val="78F16688"/>
    <w:rsid w:val="795446EC"/>
    <w:rsid w:val="79554E68"/>
    <w:rsid w:val="7A0C2628"/>
    <w:rsid w:val="7A5275FA"/>
    <w:rsid w:val="7A6360C6"/>
    <w:rsid w:val="7A747570"/>
    <w:rsid w:val="7AEC6B63"/>
    <w:rsid w:val="7B087CB8"/>
    <w:rsid w:val="7BDF41ED"/>
    <w:rsid w:val="7C32323F"/>
    <w:rsid w:val="7C4A67DB"/>
    <w:rsid w:val="7C59298C"/>
    <w:rsid w:val="7C5E4DBC"/>
    <w:rsid w:val="7CAC0B5E"/>
    <w:rsid w:val="7CFE75C5"/>
    <w:rsid w:val="7D036989"/>
    <w:rsid w:val="7DB676F1"/>
    <w:rsid w:val="7DE60785"/>
    <w:rsid w:val="7E180801"/>
    <w:rsid w:val="7E8B4817"/>
    <w:rsid w:val="7F4738A3"/>
    <w:rsid w:val="7F8D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autoRedefine/>
    <w:qFormat/>
    <w:uiPriority w:val="0"/>
    <w:pPr>
      <w:spacing w:after="120"/>
    </w:pPr>
    <w:rPr>
      <w:rFonts w:ascii="Verdana" w:hAnsi="Verdana" w:eastAsia="仿宋_GB2312"/>
      <w:lang w:eastAsia="en-US"/>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qFormat/>
    <w:uiPriority w:val="0"/>
    <w:rPr>
      <w:rFonts w:ascii="宋体" w:hAnsi="Courier New"/>
    </w:rPr>
  </w:style>
  <w:style w:type="paragraph" w:styleId="8">
    <w:name w:val="Balloon Text"/>
    <w:basedOn w:val="1"/>
    <w:link w:val="4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rFonts w:cs="Times New Roman"/>
      <w:kern w:val="0"/>
      <w:sz w:val="22"/>
    </w:rPr>
  </w:style>
  <w:style w:type="paragraph" w:styleId="12">
    <w:name w:val="toc 2"/>
    <w:basedOn w:val="1"/>
    <w:next w:val="1"/>
    <w:autoRedefine/>
    <w:unhideWhenUsed/>
    <w:qFormat/>
    <w:uiPriority w:val="39"/>
    <w:pPr>
      <w:widowControl/>
      <w:tabs>
        <w:tab w:val="right" w:leader="dot" w:pos="9060"/>
      </w:tabs>
      <w:spacing w:after="100" w:line="240" w:lineRule="exact"/>
      <w:ind w:left="221"/>
      <w:jc w:val="left"/>
    </w:pPr>
    <w:rPr>
      <w:rFonts w:cs="Times New Roman"/>
      <w:kern w:val="0"/>
      <w:sz w:val="22"/>
    </w:rPr>
  </w:style>
  <w:style w:type="paragraph" w:styleId="13">
    <w:name w:val="Normal (Web)"/>
    <w:basedOn w:val="1"/>
    <w:next w:val="7"/>
    <w:qFormat/>
    <w:uiPriority w:val="0"/>
    <w:pPr>
      <w:spacing w:beforeAutospacing="1" w:afterAutospacing="1"/>
      <w:jc w:val="left"/>
    </w:pPr>
    <w:rPr>
      <w:rFonts w:eastAsia="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customStyle="1" w:styleId="19">
    <w:name w:val="页眉 字符"/>
    <w:basedOn w:val="16"/>
    <w:link w:val="10"/>
    <w:autoRedefine/>
    <w:qFormat/>
    <w:uiPriority w:val="99"/>
    <w:rPr>
      <w:sz w:val="18"/>
      <w:szCs w:val="18"/>
    </w:rPr>
  </w:style>
  <w:style w:type="character" w:customStyle="1" w:styleId="20">
    <w:name w:val="页脚 字符"/>
    <w:basedOn w:val="16"/>
    <w:link w:val="9"/>
    <w:autoRedefine/>
    <w:qFormat/>
    <w:uiPriority w:val="99"/>
    <w:rPr>
      <w:sz w:val="18"/>
      <w:szCs w:val="18"/>
    </w:rPr>
  </w:style>
  <w:style w:type="character" w:customStyle="1" w:styleId="21">
    <w:name w:val="标题 1 字符"/>
    <w:basedOn w:val="16"/>
    <w:link w:val="2"/>
    <w:autoRedefine/>
    <w:qFormat/>
    <w:uiPriority w:val="9"/>
    <w:rPr>
      <w:b/>
      <w:bCs/>
      <w:kern w:val="44"/>
      <w:sz w:val="44"/>
      <w:szCs w:val="44"/>
    </w:rPr>
  </w:style>
  <w:style w:type="paragraph" w:customStyle="1" w:styleId="2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标题 2 字符"/>
    <w:basedOn w:val="16"/>
    <w:link w:val="3"/>
    <w:autoRedefine/>
    <w:qFormat/>
    <w:uiPriority w:val="9"/>
    <w:rPr>
      <w:rFonts w:asciiTheme="majorHAnsi" w:hAnsiTheme="majorHAnsi" w:eastAsiaTheme="majorEastAsia" w:cstheme="majorBidi"/>
      <w:b/>
      <w:bCs/>
      <w:sz w:val="32"/>
      <w:szCs w:val="32"/>
    </w:rPr>
  </w:style>
  <w:style w:type="paragraph" w:customStyle="1" w:styleId="2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章标题"/>
    <w:next w:val="27"/>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标准文件_章标题"/>
    <w:next w:val="29"/>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9">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0">
    <w:name w:val="List Paragraph"/>
    <w:basedOn w:val="1"/>
    <w:autoRedefine/>
    <w:qFormat/>
    <w:uiPriority w:val="34"/>
    <w:pPr>
      <w:ind w:firstLine="420" w:firstLineChars="200"/>
    </w:pPr>
    <w:rPr>
      <w:szCs w:val="24"/>
    </w:rPr>
  </w:style>
  <w:style w:type="paragraph" w:customStyle="1" w:styleId="31">
    <w:name w:val="目录"/>
    <w:basedOn w:val="26"/>
    <w:autoRedefine/>
    <w:qFormat/>
    <w:uiPriority w:val="0"/>
    <w:pPr>
      <w:numPr>
        <w:ilvl w:val="0"/>
        <w:numId w:val="3"/>
      </w:numPr>
    </w:pPr>
    <w:rPr>
      <w:rFonts w:ascii="宋体" w:hAnsi="宋体" w:eastAsia="宋体"/>
      <w:szCs w:val="21"/>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character" w:customStyle="1" w:styleId="33">
    <w:name w:val="font11"/>
    <w:autoRedefine/>
    <w:qFormat/>
    <w:uiPriority w:val="0"/>
    <w:rPr>
      <w:rFonts w:hint="eastAsia" w:ascii="宋体" w:hAnsi="宋体" w:eastAsia="宋体" w:cs="宋体"/>
      <w:color w:val="000000"/>
      <w:kern w:val="0"/>
      <w:sz w:val="24"/>
      <w:szCs w:val="24"/>
      <w:u w:val="none"/>
      <w:lang w:eastAsia="en-US"/>
    </w:rPr>
  </w:style>
  <w:style w:type="character" w:customStyle="1" w:styleId="34">
    <w:name w:val="font21"/>
    <w:autoRedefine/>
    <w:qFormat/>
    <w:uiPriority w:val="0"/>
    <w:rPr>
      <w:rFonts w:hint="eastAsia" w:ascii="宋体" w:hAnsi="宋体" w:eastAsia="宋体" w:cs="宋体"/>
      <w:color w:val="000000"/>
      <w:kern w:val="0"/>
      <w:sz w:val="28"/>
      <w:szCs w:val="28"/>
      <w:u w:val="none"/>
      <w:lang w:eastAsia="en-US"/>
    </w:rPr>
  </w:style>
  <w:style w:type="paragraph" w:customStyle="1" w:styleId="35">
    <w:name w:val="其他发布部门"/>
    <w:basedOn w:val="36"/>
    <w:autoRedefine/>
    <w:qFormat/>
    <w:uiPriority w:val="0"/>
    <w:pPr>
      <w:framePr w:wrap="around" w:y="15310"/>
      <w:spacing w:line="0" w:lineRule="atLeast"/>
    </w:pPr>
    <w:rPr>
      <w:rFonts w:ascii="黑体" w:eastAsia="黑体"/>
      <w:b w:val="0"/>
    </w:rPr>
  </w:style>
  <w:style w:type="paragraph" w:customStyle="1" w:styleId="36">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7">
    <w:name w:val="发布"/>
    <w:autoRedefine/>
    <w:qFormat/>
    <w:uiPriority w:val="0"/>
    <w:rPr>
      <w:rFonts w:ascii="黑体" w:eastAsia="黑体"/>
      <w:spacing w:val="85"/>
      <w:w w:val="100"/>
      <w:position w:val="3"/>
      <w:sz w:val="28"/>
      <w:szCs w:val="28"/>
    </w:rPr>
  </w:style>
  <w:style w:type="paragraph" w:customStyle="1" w:styleId="38">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39">
    <w:name w:val="其他实施日期"/>
    <w:basedOn w:val="40"/>
    <w:autoRedefine/>
    <w:qFormat/>
    <w:uiPriority w:val="0"/>
    <w:pPr>
      <w:framePr w:wrap="around"/>
    </w:pPr>
  </w:style>
  <w:style w:type="paragraph" w:customStyle="1" w:styleId="40">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character" w:customStyle="1" w:styleId="41">
    <w:name w:val="批注框文本 字符"/>
    <w:basedOn w:val="16"/>
    <w:link w:val="8"/>
    <w:autoRedefine/>
    <w:semiHidden/>
    <w:qFormat/>
    <w:uiPriority w:val="99"/>
    <w:rPr>
      <w:kern w:val="2"/>
      <w:sz w:val="18"/>
      <w:szCs w:val="18"/>
    </w:rPr>
  </w:style>
  <w:style w:type="paragraph" w:customStyle="1" w:styleId="42">
    <w:name w:val="一级条标题"/>
    <w:next w:val="1"/>
    <w:autoRedefine/>
    <w:qFormat/>
    <w:uiPriority w:val="0"/>
    <w:pPr>
      <w:spacing w:beforeLines="50" w:afterLines="50"/>
      <w:ind w:firstLine="420" w:firstLineChars="200"/>
      <w:outlineLvl w:val="2"/>
    </w:pPr>
    <w:rPr>
      <w:rFonts w:ascii="黑体" w:hAnsi="Times New Roman" w:eastAsia="黑体" w:cs="Times New Roman"/>
      <w:color w:val="000000" w:themeColor="text1"/>
      <w:sz w:val="21"/>
      <w:szCs w:val="21"/>
      <w:lang w:val="en-US" w:eastAsia="zh-CN" w:bidi="ar-SA"/>
      <w14:textFill>
        <w14:solidFill>
          <w14:schemeClr w14:val="tx1"/>
        </w14:solidFill>
      </w14:textFill>
    </w:rPr>
  </w:style>
  <w:style w:type="paragraph" w:customStyle="1" w:styleId="43">
    <w:name w:val="二级条标题"/>
    <w:basedOn w:val="42"/>
    <w:next w:val="27"/>
    <w:autoRedefine/>
    <w:qFormat/>
    <w:uiPriority w:val="0"/>
    <w:pPr>
      <w:tabs>
        <w:tab w:val="left" w:pos="0"/>
      </w:tabs>
      <w:spacing w:before="50" w:after="50"/>
      <w:outlineLvl w:val="3"/>
    </w:pPr>
  </w:style>
  <w:style w:type="paragraph" w:customStyle="1" w:styleId="44">
    <w:name w:val="三级条标题"/>
    <w:basedOn w:val="43"/>
    <w:next w:val="27"/>
    <w:autoRedefine/>
    <w:qFormat/>
    <w:uiPriority w:val="0"/>
    <w:pPr>
      <w:numPr>
        <w:ilvl w:val="3"/>
        <w:numId w:val="4"/>
      </w:numPr>
      <w:outlineLvl w:val="4"/>
    </w:pPr>
  </w:style>
  <w:style w:type="paragraph" w:customStyle="1" w:styleId="45">
    <w:name w:val="Table Text"/>
    <w:basedOn w:val="1"/>
    <w:semiHidden/>
    <w:qFormat/>
    <w:uiPriority w:val="0"/>
    <w:rPr>
      <w:rFonts w:ascii="宋体" w:hAnsi="宋体" w:eastAsia="宋体" w:cs="宋体"/>
      <w:szCs w:val="21"/>
      <w:lang w:eastAsia="en-US"/>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2605</Words>
  <Characters>2821</Characters>
  <Lines>23</Lines>
  <Paragraphs>6</Paragraphs>
  <TotalTime>260</TotalTime>
  <ScaleCrop>false</ScaleCrop>
  <LinksUpToDate>false</LinksUpToDate>
  <CharactersWithSpaces>2980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2024-04-20T05:18:00Z</dcterms:created>
  <dc:creator>xiao</dc:creator>
  <cp:lastModifiedBy>LB</cp:lastModifiedBy>
  <dcterms:modified xsi:type="dcterms:W3CDTF">2025-04-15T06:37:24Z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8DF93ACBDF79407B95EB18E1F5AE0F05_13</vt:lpwstr>
  </property>
  <property fmtid="{D5CDD505-2E9C-101B-9397-08002B2CF9AE}" pid="4" name="KSOTemplateDocerSaveRecord">
    <vt:lpwstr>eyJoZGlkIjoiMDlhMDdkN2E2NDUzOWIzNzdjZThlMzExNzlmMGQxNzgiLCJ1c2VySWQiOiIxMDM3NjA5ODQ4In0=</vt:lpwstr>
  </property>
</Properties>
</file>