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Microsoft YaHei UI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Microsoft YaHei UI"/>
          <w:color w:val="333333"/>
          <w:spacing w:val="8"/>
          <w:sz w:val="44"/>
          <w:szCs w:val="44"/>
          <w:shd w:val="clear" w:color="auto" w:fill="FFFFFF"/>
        </w:rPr>
        <w:t>回 执 表</w:t>
      </w:r>
    </w:p>
    <w:p/>
    <w:tbl>
      <w:tblPr>
        <w:tblStyle w:val="2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59"/>
        <w:gridCol w:w="851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联系方式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 xml:space="preserve">车牌号码  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（公共交通不填）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</w:tr>
    </w:tbl>
    <w:p>
      <w:pPr>
        <w:rPr>
          <w:rFonts w:hint="eastAsia" w:ascii="宋体" w:cs="宋体"/>
          <w:b/>
          <w:bCs/>
          <w:sz w:val="44"/>
          <w:szCs w:val="44"/>
        </w:rPr>
      </w:pPr>
    </w:p>
    <w:p>
      <w:pPr>
        <w:rPr>
          <w:rFonts w:hint="eastAsia" w:ascii="宋体" w:cs="宋体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E25A0"/>
    <w:rsid w:val="7A9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2020-07-06T09:11:00Z</dcterms:created>
  <dc:creator>Administrator</dc:creator>
  <cp:lastModifiedBy>Administrator</cp:lastModifiedBy>
  <dcterms:modified xsi:type="dcterms:W3CDTF">2020-07-06T09:11:40Z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